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A5A" w:rsidRDefault="00AB3004" w:rsidP="00DD73DA">
      <w:pPr>
        <w:spacing w:after="0" w:line="360" w:lineRule="auto"/>
        <w:ind w:left="5103"/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</w:pPr>
      <w:r w:rsidRPr="00E8300D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 xml:space="preserve">Додаток </w:t>
      </w:r>
      <w:r w:rsidR="00291BA0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>6</w:t>
      </w:r>
      <w:r w:rsidRPr="00E8300D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br/>
        <w:t xml:space="preserve">до </w:t>
      </w:r>
      <w:r w:rsidR="00F914D8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>Г</w:t>
      </w:r>
      <w:r w:rsidRPr="00E8300D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 xml:space="preserve">ігієнічних вимог до </w:t>
      </w:r>
      <w:r w:rsidR="00472A5A" w:rsidRPr="00E8300D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 xml:space="preserve">виробництва та обігу харчових продуктів тваринного походження </w:t>
      </w:r>
    </w:p>
    <w:p w:rsidR="00DD73DA" w:rsidRPr="00E8300D" w:rsidRDefault="00DD73DA" w:rsidP="00DD73DA">
      <w:pPr>
        <w:spacing w:after="0" w:line="360" w:lineRule="auto"/>
        <w:ind w:left="5103"/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 xml:space="preserve">(абзац </w:t>
      </w:r>
      <w:r w:rsidR="001F258A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>другий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 xml:space="preserve"> пункту 4 глави 14 розділу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V</w:t>
      </w:r>
      <w:r w:rsidRPr="00DD73DA">
        <w:rPr>
          <w:rFonts w:ascii="Times New Roman" w:eastAsia="Times New Roman" w:hAnsi="Times New Roman" w:cs="Times New Roman"/>
          <w:snapToGrid w:val="0"/>
          <w:sz w:val="28"/>
          <w:szCs w:val="28"/>
          <w:lang w:val="ru-RU" w:eastAsia="ru-RU"/>
        </w:rPr>
        <w:t>)</w:t>
      </w:r>
    </w:p>
    <w:p w:rsidR="00AB3004" w:rsidRPr="00AB3004" w:rsidRDefault="00AB3004" w:rsidP="00AB3004">
      <w:pPr>
        <w:spacing w:before="150" w:after="15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AB3004" w:rsidRPr="00AB3004" w:rsidRDefault="00AB3004" w:rsidP="00AB3004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" w:name="n407"/>
      <w:bookmarkEnd w:id="1"/>
      <w:r w:rsidRPr="00AB30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ВИЗНАЧЕННЯ</w:t>
      </w:r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br/>
      </w:r>
      <w:r w:rsidRPr="00AB30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загального вмісту води у курчатах</w:t>
      </w:r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br/>
      </w:r>
      <w:r w:rsidRPr="00AB30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(хімічний тест)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" w:name="n408"/>
      <w:bookmarkEnd w:id="2"/>
      <w:r w:rsidRPr="00AB30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1. Предмет і мета.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" w:name="n409"/>
      <w:bookmarkEnd w:id="3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Цей метод використовується для визначення загального вмісту води у заморожених та швидкозаморожених курчатах, включає визначення вмісту води та протеїну у зразках гомогенізованих тушок птиці. Визначений загальний вміст води порівнюється з граничним значенням, яке одержується за формулою, зазначеною </w:t>
      </w:r>
      <w:r w:rsidR="00D676B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в</w:t>
      </w:r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 </w:t>
      </w:r>
      <w:r w:rsidRPr="00D676B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підпункті 6.4 пункту 6</w:t>
      </w:r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 цього додатка, що дає можливість встановити, чи було перевищено ліміти вбирання води під час технологічного процесу. Якщо у аналітика є підозри того, що присутня якась речовина, яка може вплинути на оцінку, він зобов’язаний ужити необхідних запобіжних заходів.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4" w:name="n410"/>
      <w:bookmarkEnd w:id="4"/>
      <w:r w:rsidRPr="00AB30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2. Визначення.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5" w:name="n411"/>
      <w:bookmarkEnd w:id="5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Тушка - тушка свійської птиці з кістками, хрящами та будь-яким додатковим потрухом.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6" w:name="n412"/>
      <w:bookmarkEnd w:id="6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Потрухи - печінка, серце, другий шлунок та шия.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7" w:name="n413"/>
      <w:bookmarkEnd w:id="7"/>
      <w:r w:rsidRPr="00AB30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3. Принцип.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8" w:name="n414"/>
      <w:bookmarkEnd w:id="8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Вміст води та протеїну визначається відповідно до методик, встановлених державними стандартами, або інших методів аналізу, схвалених відповідними міжнародними організаціями або ЄС.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9" w:name="n415"/>
      <w:bookmarkEnd w:id="9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Максимальний рівень вмісту води у тушці визначається з вмісту протеїну у тушці, який залежить від фізіологічного вмісту води.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0" w:name="n416"/>
      <w:bookmarkEnd w:id="10"/>
      <w:r w:rsidRPr="00AB30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4. Апаратура та реагенти.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1" w:name="n417"/>
      <w:bookmarkEnd w:id="11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4.1. Ваги для зважування тушки та обгорток з точністю до 1 г.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2" w:name="n418"/>
      <w:bookmarkEnd w:id="12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4.2. Сокира або пилка для розрізання тушок на шматки відповідного розміру для м‘ясорубки.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3" w:name="n419"/>
      <w:bookmarkEnd w:id="13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4.3. Потужна м’ясорубка та блендер, придатні для гомогенізації заморожених або швидкозаморожених шматків птиці.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4" w:name="n420"/>
      <w:bookmarkEnd w:id="14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Необхідно звернути увагу на таке. М'ясорубка повинна бути достатньо потужною для вироблення однорідної маси (подібної до такої, що отримується з м‘ясорубки з 4-мм диском з отворами) із замороженого або швидкозамороженого м‘яса і кісток птиці.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5" w:name="n421"/>
      <w:bookmarkEnd w:id="15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lastRenderedPageBreak/>
        <w:t>4.4. Обладнання для визначення вмісту води відповідно до ISO 1442.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6" w:name="n422"/>
      <w:bookmarkEnd w:id="16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4.5. Обладнання для визначення вмісту протеїну відповідно до ISO 937.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7" w:name="n423"/>
      <w:bookmarkEnd w:id="17"/>
      <w:r w:rsidRPr="00AB30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5. Методика.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8" w:name="n424"/>
      <w:bookmarkEnd w:id="18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5.1. Сім тушок відбираються у довільному порядку з числа птиці, яка підлягає перевірці, та у кожному випадку вони утримуються замороженими до початку проведення аналізів відповідно до підпунктів 5.2-5.6 цього пункту.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9" w:name="n425"/>
      <w:bookmarkEnd w:id="19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Лабораторні випробування (дослідження) можуть проводитися як щодо кожної з семи тушок окремо, так і щодо них усіх разом.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0" w:name="n426"/>
      <w:bookmarkEnd w:id="20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5.2. Приготування починається у межах однієї години після відбирання тушок з морозильної камери.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1" w:name="n427"/>
      <w:bookmarkEnd w:id="21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5.3. Із зовнішнього боку упаковки витирається поверхневий лід та вода. Кожна тушка важиться та виймається з будь-якого наявного пакувального матеріалу. Після розрізання тушки на менші шматки будь-який пакувальний матеріал, наявний біля їстівного потруху, видаляється. Загальна маса тушки, включаючи їстівний потрух та налиплий лід на тушці, важиться з точністю до грама, після чого віднімається маса пакувального матеріалу, що був вилучений. Отримане значення становить «Р1».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2" w:name="n428"/>
      <w:bookmarkEnd w:id="22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У разі аналізу змішаного зразка для отримання значення «Р7» визначається загальна маса семи тушок.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3" w:name="n429"/>
      <w:bookmarkEnd w:id="23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5.4. Ціла тушка масою Р1 пропускається через м’ясорубку, зазначену у підпункті 4.3 пункту 4 цього додатка, та, якщо необхідно, також перемішується блендером для одержання однорідного матеріалу, з якого буде відбиратися репрезентативний зразок кожної тушки.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4" w:name="n430"/>
      <w:bookmarkEnd w:id="24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У разі аналізу змішаного зразка усі сім тушок масою Р7 пропускаються через м’ясорубку, зазначену в підпункті 4.3 пункту 4 цього додатка, та, якщо необхідно, також перемішуються блендером для одержання однорідного матеріалу, з якого буде взято два репрезентативних зразки. Відібрані два зразки аналізуються відповідно до підпунктів 5.5 та 5.6 цього пункту.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5" w:name="n431"/>
      <w:bookmarkEnd w:id="25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5.5. Зразок однорідного матеріалу відбирається та невідкладно використовується для визначення вмісту води відповідно до ISO 1442 або стандарту, що замінює чи доповнює його. Одержане значення вмісту води вказується як «а %».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6" w:name="n432"/>
      <w:bookmarkEnd w:id="26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5.6. Зразок однорідного матеріалу також відбирається і невідкладно використовується для визначення вмісту азоту відповідно до ISO 937 або стандарту, що замінює чи доповнює його. Вміст азоту конвертується у вміст загального білку (протеїну) «b %» шляхом множення його на коефіцієнт 6,25.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7" w:name="n433"/>
      <w:bookmarkEnd w:id="27"/>
      <w:r w:rsidRPr="00AB30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6. Розрахунок результатів.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8" w:name="n434"/>
      <w:bookmarkEnd w:id="28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6.1. Маса води (W) у кожній туші має значення aP1/100, а маса протеїну (RP) - bP1/100, обидва значення виражені у грамах. Визначаються суми мас води (W7) і мас протеїну (RP7) у семи тушках.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9" w:name="n435"/>
      <w:bookmarkEnd w:id="29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У разі досліджень (випробувань) змішаного зразка для одержання a % та b % визначається середній вміст води та протеїну з двох зразків. Маса води (W7) у семи тушках має вигляд aP7/100, маса протеїну (RP7) - bP7/100, обидва значення виражаються у грамах.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0" w:name="n436"/>
      <w:bookmarkEnd w:id="30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lastRenderedPageBreak/>
        <w:t>6.2. Середня маса води (WА) та протеїну (RPА) розраховується діленням відповідно W7 та RP7 на сім.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1" w:name="n437"/>
      <w:bookmarkEnd w:id="31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6.3. Теоретичний фізіологічний вміст води у грамах, визначений таким методом, розраховується за такою формулою: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2" w:name="n438"/>
      <w:bookmarkEnd w:id="32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курчата: 3,53 </w:t>
      </w:r>
      <w:r w:rsidRPr="00AB3004">
        <w:rPr>
          <w:rFonts w:ascii="Arial Unicode MS" w:eastAsia="Times New Roman" w:hAnsi="Arial Unicode MS" w:cs="Times New Roman"/>
          <w:b/>
          <w:bCs/>
          <w:color w:val="000000"/>
          <w:sz w:val="24"/>
          <w:szCs w:val="24"/>
          <w:lang w:val="uk-UA" w:eastAsia="uk-UA"/>
        </w:rPr>
        <w:t>×</w:t>
      </w:r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 RPA + 23.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3" w:name="n439"/>
      <w:bookmarkEnd w:id="33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6.4. Охолодження повітрям.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4" w:name="n440"/>
      <w:bookmarkEnd w:id="34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Беручи до уваги, що мінімальний обсяг води, якого технічно неможливо уникнути під час приготування, становить до 2%, найвище дозволене значення загального вмісту води (WG), визначеного за цим методом, виражається за формулою (включаючи довірчий інтервал):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5" w:name="n441"/>
      <w:bookmarkEnd w:id="35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курчата: WG = 3,65 </w:t>
      </w:r>
      <w:r w:rsidRPr="00AB3004">
        <w:rPr>
          <w:rFonts w:ascii="Arial Unicode MS" w:eastAsia="Times New Roman" w:hAnsi="Arial Unicode MS" w:cs="Times New Roman"/>
          <w:b/>
          <w:bCs/>
          <w:color w:val="000000"/>
          <w:sz w:val="24"/>
          <w:szCs w:val="24"/>
          <w:lang w:val="uk-UA" w:eastAsia="uk-UA"/>
        </w:rPr>
        <w:t>×</w:t>
      </w:r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 RPA + 42.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6" w:name="n442"/>
      <w:bookmarkEnd w:id="36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Охолодження аерозолем.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7" w:name="n443"/>
      <w:bookmarkEnd w:id="37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Беручи до уваги, що мінімальний обсяг води, увібрання якого технічно неможливо уникнути під час приготування, становить до 4,5 %, найвище дозволене значення загального вмісту води (WG), визначеного за цим методом, виражається за формулою (включаючи довірчий інтервал):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8" w:name="n444"/>
      <w:bookmarkEnd w:id="38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курчата: WG = 3,79 </w:t>
      </w:r>
      <w:r w:rsidRPr="00AB3004">
        <w:rPr>
          <w:rFonts w:ascii="Arial Unicode MS" w:eastAsia="Times New Roman" w:hAnsi="Arial Unicode MS" w:cs="Times New Roman"/>
          <w:b/>
          <w:bCs/>
          <w:color w:val="000000"/>
          <w:sz w:val="24"/>
          <w:szCs w:val="24"/>
          <w:lang w:val="uk-UA" w:eastAsia="uk-UA"/>
        </w:rPr>
        <w:t>×</w:t>
      </w:r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 RPA + 42.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9" w:name="n445"/>
      <w:bookmarkEnd w:id="39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Охолодження зануренням.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40" w:name="n446"/>
      <w:bookmarkEnd w:id="40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Беручи до уваги те, що мінімальний обсяг води, увібрання якого технічно неможливо уникнути під час приготування, становить до 7 %, найвище допустиме значення загального вмісту води (WG), визначеного за цим методом, виражається за формулою (включаючи довірчий інтервал):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41" w:name="n447"/>
      <w:bookmarkEnd w:id="41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курчата: WG = 3,93 </w:t>
      </w:r>
      <w:r w:rsidRPr="00AB3004">
        <w:rPr>
          <w:rFonts w:ascii="Arial Unicode MS" w:eastAsia="Times New Roman" w:hAnsi="Arial Unicode MS" w:cs="Times New Roman"/>
          <w:b/>
          <w:bCs/>
          <w:color w:val="000000"/>
          <w:sz w:val="24"/>
          <w:szCs w:val="24"/>
          <w:lang w:val="uk-UA" w:eastAsia="uk-UA"/>
        </w:rPr>
        <w:t>×</w:t>
      </w:r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 RPA + 42.</w:t>
      </w:r>
    </w:p>
    <w:p w:rsidR="00AB3004" w:rsidRPr="00AB3004" w:rsidRDefault="00AB3004" w:rsidP="00AB300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42" w:name="n448"/>
      <w:bookmarkEnd w:id="42"/>
      <w:r w:rsidRPr="00AB30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6.5. Якщо у семи тушках середній вміст води (WA), розрахований за підпунктом 6.2 цього пункту, не перевищує значення, визначеного у підпункті 6.4 цього пункту, то якість птиці відповідає цим Гігієнічним вимогам.</w:t>
      </w:r>
    </w:p>
    <w:p w:rsidR="00B20B70" w:rsidRPr="00AB3004" w:rsidRDefault="007A422F" w:rsidP="00AB3004">
      <w:pPr>
        <w:rPr>
          <w:lang w:val="uk-UA"/>
        </w:rPr>
      </w:pPr>
    </w:p>
    <w:sectPr w:rsidR="00B20B70" w:rsidRPr="00AB3004" w:rsidSect="00E2699F">
      <w:headerReference w:type="default" r:id="rId6"/>
      <w:pgSz w:w="12240" w:h="15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22F" w:rsidRDefault="007A422F" w:rsidP="00E80453">
      <w:pPr>
        <w:spacing w:after="0" w:line="240" w:lineRule="auto"/>
      </w:pPr>
      <w:r>
        <w:separator/>
      </w:r>
    </w:p>
  </w:endnote>
  <w:endnote w:type="continuationSeparator" w:id="0">
    <w:p w:rsidR="007A422F" w:rsidRDefault="007A422F" w:rsidP="00E80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22F" w:rsidRDefault="007A422F" w:rsidP="00E80453">
      <w:pPr>
        <w:spacing w:after="0" w:line="240" w:lineRule="auto"/>
      </w:pPr>
      <w:r>
        <w:separator/>
      </w:r>
    </w:p>
  </w:footnote>
  <w:footnote w:type="continuationSeparator" w:id="0">
    <w:p w:rsidR="007A422F" w:rsidRDefault="007A422F" w:rsidP="00E804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-1374680516"/>
      <w:docPartObj>
        <w:docPartGallery w:val="Page Numbers (Top of Page)"/>
        <w:docPartUnique/>
      </w:docPartObj>
    </w:sdtPr>
    <w:sdtEndPr/>
    <w:sdtContent>
      <w:p w:rsidR="00E80453" w:rsidRPr="00E2699F" w:rsidRDefault="00E8045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2699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2699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2699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F258A" w:rsidRPr="001F258A">
          <w:rPr>
            <w:rFonts w:ascii="Times New Roman" w:hAnsi="Times New Roman" w:cs="Times New Roman"/>
            <w:noProof/>
            <w:sz w:val="24"/>
            <w:szCs w:val="24"/>
            <w:lang w:val="uk-UA"/>
          </w:rPr>
          <w:t>3</w:t>
        </w:r>
        <w:r w:rsidRPr="00E2699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80453" w:rsidRPr="00E2699F" w:rsidRDefault="00E2699F" w:rsidP="00E2699F">
    <w:pPr>
      <w:pStyle w:val="a4"/>
      <w:jc w:val="right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>Продовження додатку 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004"/>
    <w:rsid w:val="001F258A"/>
    <w:rsid w:val="00291BA0"/>
    <w:rsid w:val="00367CBC"/>
    <w:rsid w:val="00472A5A"/>
    <w:rsid w:val="007A422F"/>
    <w:rsid w:val="00835BCF"/>
    <w:rsid w:val="00906FA4"/>
    <w:rsid w:val="00AB3004"/>
    <w:rsid w:val="00B37EEB"/>
    <w:rsid w:val="00D55B30"/>
    <w:rsid w:val="00D676B6"/>
    <w:rsid w:val="00DD73DA"/>
    <w:rsid w:val="00E2699F"/>
    <w:rsid w:val="00E80453"/>
    <w:rsid w:val="00E8300D"/>
    <w:rsid w:val="00F91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9DDED9"/>
  <w15:chartTrackingRefBased/>
  <w15:docId w15:val="{566F5DDD-0CDD-4542-963A-84FF9FE16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AB3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7">
    <w:name w:val="rvps7"/>
    <w:basedOn w:val="a"/>
    <w:rsid w:val="00AB3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15">
    <w:name w:val="rvts15"/>
    <w:basedOn w:val="a0"/>
    <w:rsid w:val="00AB3004"/>
  </w:style>
  <w:style w:type="paragraph" w:customStyle="1" w:styleId="rvps2">
    <w:name w:val="rvps2"/>
    <w:basedOn w:val="a"/>
    <w:rsid w:val="00AB3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9">
    <w:name w:val="rvts9"/>
    <w:basedOn w:val="a0"/>
    <w:rsid w:val="00AB3004"/>
  </w:style>
  <w:style w:type="character" w:styleId="a3">
    <w:name w:val="Hyperlink"/>
    <w:basedOn w:val="a0"/>
    <w:uiPriority w:val="99"/>
    <w:semiHidden/>
    <w:unhideWhenUsed/>
    <w:rsid w:val="00AB3004"/>
    <w:rPr>
      <w:color w:val="0000FF"/>
      <w:u w:val="single"/>
    </w:rPr>
  </w:style>
  <w:style w:type="character" w:customStyle="1" w:styleId="rvts80">
    <w:name w:val="rvts80"/>
    <w:basedOn w:val="a0"/>
    <w:rsid w:val="00AB3004"/>
  </w:style>
  <w:style w:type="paragraph" w:styleId="a4">
    <w:name w:val="header"/>
    <w:basedOn w:val="a"/>
    <w:link w:val="a5"/>
    <w:uiPriority w:val="99"/>
    <w:unhideWhenUsed/>
    <w:rsid w:val="00E80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E80453"/>
  </w:style>
  <w:style w:type="paragraph" w:styleId="a6">
    <w:name w:val="footer"/>
    <w:basedOn w:val="a"/>
    <w:link w:val="a7"/>
    <w:uiPriority w:val="99"/>
    <w:unhideWhenUsed/>
    <w:rsid w:val="00E80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E804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21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3582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3803</Words>
  <Characters>2169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МІКАДЗЕ Вахтанг Євгенович</dc:creator>
  <cp:keywords/>
  <dc:description/>
  <cp:lastModifiedBy>МІКАДЗЕ Вахтанг Євгенович</cp:lastModifiedBy>
  <cp:revision>10</cp:revision>
  <dcterms:created xsi:type="dcterms:W3CDTF">2020-05-04T20:00:00Z</dcterms:created>
  <dcterms:modified xsi:type="dcterms:W3CDTF">2020-07-20T15:20:00Z</dcterms:modified>
</cp:coreProperties>
</file>