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розвитку економіки, торгівлі та сільського господарства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05.04.2021 р. № 22-д</w:t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головного спеціаліста відділу державно-приватного партнерства 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департаменту інвестицій, категорія «В»</w:t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62"/>
        <w:gridCol w:w="10225"/>
        <w:tblGridChange w:id="0">
          <w:tblGrid>
            <w:gridCol w:w="936"/>
            <w:gridCol w:w="4162"/>
            <w:gridCol w:w="1022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739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-підготовка в межах повноважень, передбачених законодавством, проектів нормативно-правових актів у сфері державно-приватного партнерства;</w:t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-участь у підготовці позиції Мінекономіки щодо концептуальних записок здійснення державно-приватного партнерства у випадках, передбачених законодавством;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-участь у підготовці  та погодженні висновків за результатами проведення аналізу ефективності здійснення державно-приватного партнерства у випадках, передбачених законодавством;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-забезпечення оприлюднення на офіційному веб-сайті Мінекономіки висновків за результатами аналізу ефективності здійснення державно-приватного партнерства у випадках, передбачених законодавством, а в разі їх непогодження також і повідомлення про відмову у погодженні висновку, з обґрунтуванням причин відмови;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-ведення обліку та здійснення моніторингу договорів, укладених в рамках державно-приватного партнерства, у тому числі концесійних договорів;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-забезпечення оприлюднення в установленому порядку результатів здійснення державно-приватного партнерства (концесії);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-участь у координації роботи державної організації “Агенція з питань підтримки державного партнерства”;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-здійснення аналізу міжнародної практики правового регулювання у сфері державно-приватного партнерства та реалізації проектів, що здійснюються на умовах державно-приватного партнерства;</w:t>
            </w:r>
          </w:p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-підготовка пропозицій щодо утворення консультативно-дорадчих органів при Мінекономіки з питань, що належать до сфери державно-приватного партнерства,  та забезпечення організаційного та інформаційно-аналітичного супроводу українсько-турецької робочої групи з питань державно-приватного партнерства;</w:t>
            </w:r>
          </w:p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-підготовка інформаційно-аналітичних матеріалів щодо формування та реалізації політики у сфері державно-приватного партнерства та проведення інформаційно-роз'яснювальної і консультаційної роботи з питань державно-приватного партнерства, у тому числі концесії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10 600 грн;</w:t>
            </w:r>
          </w:p>
          <w:p w:rsidR="00000000" w:rsidDel="00000000" w:rsidP="00000000" w:rsidRDefault="00000000" w:rsidRPr="00000000" w14:paraId="0000001C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D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безстроково;</w:t>
            </w:r>
          </w:p>
          <w:p w:rsidR="00000000" w:rsidDel="00000000" w:rsidP="00000000" w:rsidRDefault="00000000" w:rsidRPr="00000000" w14:paraId="00000021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5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 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6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7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8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9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A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C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D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Інформація приймається до 17 год. 00 хв. 12 квітня 2021 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rPr>
          <w:trHeight w:val="5296.56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32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3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000000" w:rsidDel="00000000" w:rsidP="00000000" w:rsidRDefault="00000000" w:rsidRPr="00000000" w14:paraId="00000036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16 квітня 2021 року з 10 год. 00 хв.</w:t>
            </w:r>
          </w:p>
          <w:p w:rsidR="00000000" w:rsidDel="00000000" w:rsidP="00000000" w:rsidRDefault="00000000" w:rsidRPr="00000000" w14:paraId="0000003B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D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E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</w:t>
            </w:r>
          </w:p>
          <w:p w:rsidR="00000000" w:rsidDel="00000000" w:rsidP="00000000" w:rsidRDefault="00000000" w:rsidRPr="00000000" w14:paraId="00000040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(066) 331-41-07, ilevadnyuk@me.gov.ua;</w:t>
            </w:r>
          </w:p>
          <w:p w:rsidR="00000000" w:rsidDel="00000000" w:rsidP="00000000" w:rsidRDefault="00000000" w:rsidRPr="00000000" w14:paraId="00000045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6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бакалавра, молодшого бакалавра</w:t>
            </w:r>
          </w:p>
        </w:tc>
      </w:tr>
      <w:tr>
        <w:trPr>
          <w:trHeight w:val="5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 потребує</w:t>
            </w:r>
          </w:p>
        </w:tc>
      </w:tr>
      <w:tr>
        <w:trPr>
          <w:trHeight w:val="4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3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986" w:hRule="atLeast"/>
        </w:trPr>
        <w:tc>
          <w:tcPr/>
          <w:p w:rsidR="00000000" w:rsidDel="00000000" w:rsidP="00000000" w:rsidRDefault="00000000" w:rsidRPr="00000000" w14:paraId="0000005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Аналітичні здібності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00000" w:rsidDel="00000000" w:rsidP="00000000" w:rsidRDefault="00000000" w:rsidRPr="00000000" w14:paraId="0000005C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встановлювати причинно-наслідкові зв'язки;</w:t>
            </w:r>
          </w:p>
          <w:p w:rsidR="00000000" w:rsidDel="00000000" w:rsidP="00000000" w:rsidRDefault="00000000" w:rsidRPr="00000000" w14:paraId="0000005D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Досягнення результатів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чіткого бачення результату діяльності;</w:t>
            </w:r>
          </w:p>
          <w:p w:rsidR="00000000" w:rsidDel="00000000" w:rsidP="00000000" w:rsidRDefault="00000000" w:rsidRPr="00000000" w14:paraId="00000061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фокусувати зусилля для досягнення результату діяльності;</w:t>
            </w:r>
          </w:p>
          <w:p w:rsidR="00000000" w:rsidDel="00000000" w:rsidP="00000000" w:rsidRDefault="00000000" w:rsidRPr="00000000" w14:paraId="00000062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запобігати та ефективно долати перешкоди</w:t>
            </w:r>
          </w:p>
        </w:tc>
      </w:tr>
      <w:tr>
        <w:trPr>
          <w:trHeight w:val="684" w:hRule="atLeast"/>
        </w:trPr>
        <w:tc>
          <w:tcPr/>
          <w:p w:rsidR="00000000" w:rsidDel="00000000" w:rsidP="00000000" w:rsidRDefault="00000000" w:rsidRPr="00000000" w14:paraId="0000006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Командна робота та взаємодія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орієнтація на командний результат;</w:t>
            </w:r>
          </w:p>
          <w:p w:rsidR="00000000" w:rsidDel="00000000" w:rsidP="00000000" w:rsidRDefault="00000000" w:rsidRPr="00000000" w14:paraId="00000066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готовність працювати в команді та сприяти колегам у їх професійній діяльності задля досягнення спільних цілей;</w:t>
            </w:r>
          </w:p>
          <w:p w:rsidR="00000000" w:rsidDel="00000000" w:rsidP="00000000" w:rsidRDefault="00000000" w:rsidRPr="00000000" w14:paraId="00000067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відкритість в обміні інформацією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999" w:hRule="atLeast"/>
        </w:trPr>
        <w:tc>
          <w:tcPr/>
          <w:p w:rsidR="00000000" w:rsidDel="00000000" w:rsidP="00000000" w:rsidRDefault="00000000" w:rsidRPr="00000000" w14:paraId="0000006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1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72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3855.64453124999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1.9999999999999998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 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1.9999999999999998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державно-приватне партнерство»;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концесію»;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11.04.2011 № 384 «Деякі питання організації здійснення державно-приватного партнерства»;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06.02.2011 № 232 «Про затвердження Методики виявлення ризиків здійснення державно-приватного партнерства, їх оцінки та визначення форми управління ними»;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1.9999999999999998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наказу Мінекономіки від 26.05.2020 № 986 «Про затвердження Порядку подання державними партнерами (концесієдавцями) щорічного звіту про виконання договору, укладеного в рамках державно-приватного партнерства, у тому числі концесійного договору» </w:t>
            </w:r>
          </w:p>
        </w:tc>
      </w:tr>
    </w:tbl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737" w:top="0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rFonts w:eastAsia="Times New Roman"/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rFonts w:eastAsia="Times New Roman"/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eastAsia="Times New Roman" w:hAnsi="Courier New"/>
      <w:lang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rFonts w:eastAsia="Times New Roman"/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rFonts w:eastAsia="Times New Roman"/>
      <w:sz w:val="28"/>
      <w:szCs w:val="24"/>
      <w:lang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  <w:lang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rFonts w:eastAsia="Times New Roman"/>
      <w:sz w:val="24"/>
      <w:szCs w:val="24"/>
      <w:lang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rFonts w:eastAsia="Times New Roman"/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rFonts w:eastAsia="Times New Roman"/>
      <w:noProof w:val="1"/>
      <w:sz w:val="24"/>
      <w:szCs w:val="24"/>
      <w:lang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noProof w:val="1"/>
      <w:position w:val="-1"/>
      <w:lang/>
    </w:rPr>
  </w:style>
  <w:style w:type="paragraph" w:styleId="12" w:customStyle="1">
    <w:name w:val="Звичайний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UkeCjqx645iu5trTYiRGsaI+A==">AMUW2mW0NlgMMEwrsLSxOIs6mFhxEPu3ETPSXoJiN6/AMiyUKOKsD2ZmQX590SxNmV2GWFZYotkskGlkYAaGf9oB0aXtoH/DpkraqOVr//YBov9t4O+Tja29SNxa20hH6xCGGmjNDCJ+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2021-03-26T13:25:00Z</dcterms:created>
  <dc:creator>андрущенко</dc:creator>
</cp:coreProperties>
</file>