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5E" w:rsidRDefault="00334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економіки України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 w:rsidP="00F04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F0444E">
              <w:rPr>
                <w:sz w:val="28"/>
                <w:szCs w:val="28"/>
              </w:rPr>
              <w:t>1</w:t>
            </w:r>
            <w:r w:rsidR="004B27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F0444E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.2021 р. № </w:t>
            </w:r>
            <w:r w:rsidR="00F0444E">
              <w:rPr>
                <w:sz w:val="28"/>
                <w:szCs w:val="28"/>
              </w:rPr>
              <w:t>3</w:t>
            </w:r>
            <w:r w:rsidR="004B273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-д</w:t>
            </w:r>
          </w:p>
          <w:p w:rsidR="0033435E" w:rsidRDefault="00334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</w:p>
        </w:tc>
      </w:tr>
    </w:tbl>
    <w:p w:rsidR="0033435E" w:rsidRDefault="00916F3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33435E" w:rsidRPr="00C42532" w:rsidRDefault="00916F3A" w:rsidP="00C4253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bookmarkStart w:id="0" w:name="_heading=h.30j0zll" w:colFirst="0" w:colLast="0"/>
      <w:bookmarkEnd w:id="0"/>
      <w:r>
        <w:rPr>
          <w:sz w:val="28"/>
          <w:szCs w:val="28"/>
        </w:rPr>
        <w:t xml:space="preserve">на зайняття посади державної служби </w:t>
      </w:r>
      <w:r w:rsidRPr="00180886">
        <w:rPr>
          <w:color w:val="auto"/>
          <w:sz w:val="28"/>
          <w:szCs w:val="28"/>
        </w:rPr>
        <w:t xml:space="preserve">головного спеціаліста відділу </w:t>
      </w:r>
      <w:r w:rsidR="00180886" w:rsidRPr="00180886">
        <w:rPr>
          <w:color w:val="auto"/>
          <w:sz w:val="28"/>
          <w:szCs w:val="28"/>
        </w:rPr>
        <w:t>правового супроводу процедур банкрутства та майнових спорів управління правового захисту інтересів Міністерства в судах та інших органах юридичного департаменту</w:t>
      </w:r>
      <w:r w:rsidRPr="00180886">
        <w:rPr>
          <w:color w:val="auto"/>
          <w:sz w:val="28"/>
          <w:szCs w:val="28"/>
        </w:rPr>
        <w:t>, ка</w:t>
      </w:r>
      <w:r>
        <w:rPr>
          <w:sz w:val="28"/>
          <w:szCs w:val="28"/>
        </w:rPr>
        <w:t>тегорія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33435E">
        <w:tc>
          <w:tcPr>
            <w:tcW w:w="15323" w:type="dxa"/>
            <w:gridSpan w:val="3"/>
            <w:vAlign w:val="center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33435E">
        <w:trPr>
          <w:trHeight w:val="739"/>
        </w:trPr>
        <w:tc>
          <w:tcPr>
            <w:tcW w:w="5098" w:type="dxa"/>
            <w:gridSpan w:val="2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33435E" w:rsidRPr="00712265" w:rsidRDefault="00105F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712265">
              <w:rPr>
                <w:sz w:val="28"/>
                <w:szCs w:val="28"/>
              </w:rPr>
              <w:t>-</w:t>
            </w:r>
            <w:r w:rsidR="00B706FE" w:rsidRPr="00712265">
              <w:rPr>
                <w:sz w:val="28"/>
                <w:szCs w:val="28"/>
              </w:rPr>
              <w:t> здійснення самопредставництва та представництва інтересів Міністерства економіки України</w:t>
            </w:r>
            <w:r w:rsidR="00180886" w:rsidRPr="00712265">
              <w:rPr>
                <w:sz w:val="28"/>
                <w:szCs w:val="28"/>
              </w:rPr>
              <w:t xml:space="preserve"> в судах та інших органах;</w:t>
            </w:r>
          </w:p>
          <w:p w:rsidR="00105FAF" w:rsidRPr="00712265" w:rsidRDefault="00105F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712265">
              <w:rPr>
                <w:sz w:val="28"/>
                <w:szCs w:val="28"/>
              </w:rPr>
              <w:t>-</w:t>
            </w:r>
            <w:r w:rsidR="00180886" w:rsidRPr="00712265">
              <w:rPr>
                <w:sz w:val="28"/>
                <w:szCs w:val="28"/>
              </w:rPr>
              <w:t> участь у підготовці та поданні до судових органів процесуальних документів, визначених Господарським процесуальним кодексом України, Цивільним процесуальним кодексом України, Кодексом адміністративного судочинства України, Кримінальним процесуальним кодексом України;</w:t>
            </w:r>
          </w:p>
          <w:p w:rsidR="00180886" w:rsidRPr="00712265" w:rsidRDefault="001808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712265">
              <w:rPr>
                <w:sz w:val="28"/>
                <w:szCs w:val="28"/>
              </w:rPr>
              <w:t>- участь у підготовці, одержанні від структурних підрозділів та складанні документів, необхідних для пред’явлення суду;</w:t>
            </w:r>
          </w:p>
          <w:p w:rsidR="00180886" w:rsidRPr="00712265" w:rsidRDefault="00105FAF" w:rsidP="001808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712265">
              <w:rPr>
                <w:sz w:val="28"/>
                <w:szCs w:val="28"/>
              </w:rPr>
              <w:t>-</w:t>
            </w:r>
            <w:r w:rsidR="00180886" w:rsidRPr="00712265">
              <w:rPr>
                <w:sz w:val="28"/>
                <w:szCs w:val="28"/>
              </w:rPr>
              <w:t> участь в координації роботи з документами у відповідності з чинним законодавством при укладенні та виконанні господарських, цивільних, адміністративних та інших договорів, стороною у яких виступає Мінекономіки;</w:t>
            </w:r>
          </w:p>
          <w:p w:rsidR="00105FAF" w:rsidRPr="00712265" w:rsidRDefault="00105F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712265">
              <w:rPr>
                <w:sz w:val="28"/>
                <w:szCs w:val="28"/>
              </w:rPr>
              <w:t>-</w:t>
            </w:r>
            <w:r w:rsidR="00180886" w:rsidRPr="00712265">
              <w:rPr>
                <w:sz w:val="28"/>
                <w:szCs w:val="28"/>
              </w:rPr>
              <w:t xml:space="preserve"> підготовка, одержання та складання документів, необхідних для </w:t>
            </w:r>
            <w:r w:rsidR="008D5BEC" w:rsidRPr="00712265">
              <w:rPr>
                <w:sz w:val="28"/>
                <w:szCs w:val="28"/>
              </w:rPr>
              <w:t>пред’явлення</w:t>
            </w:r>
            <w:r w:rsidR="00180886" w:rsidRPr="00712265">
              <w:rPr>
                <w:sz w:val="28"/>
                <w:szCs w:val="28"/>
              </w:rPr>
              <w:t xml:space="preserve"> і розгляду процесуальних документів; погодження (</w:t>
            </w:r>
            <w:r w:rsidR="008D5BEC" w:rsidRPr="00712265">
              <w:rPr>
                <w:sz w:val="28"/>
                <w:szCs w:val="28"/>
              </w:rPr>
              <w:t>візування</w:t>
            </w:r>
            <w:r w:rsidR="00180886" w:rsidRPr="00712265">
              <w:rPr>
                <w:sz w:val="28"/>
                <w:szCs w:val="28"/>
              </w:rPr>
              <w:t>)</w:t>
            </w:r>
            <w:r w:rsidR="008D5BEC" w:rsidRPr="00712265">
              <w:rPr>
                <w:sz w:val="28"/>
                <w:szCs w:val="28"/>
              </w:rPr>
              <w:t xml:space="preserve"> проектів договорів, у випадку їх відповідності вимогам законодавс</w:t>
            </w:r>
            <w:r w:rsidR="00D056B3" w:rsidRPr="00712265">
              <w:rPr>
                <w:sz w:val="28"/>
                <w:szCs w:val="28"/>
              </w:rPr>
              <w:t>тва, за наявності погодження (візи) керівників заінтересованих структурних підрозділів;</w:t>
            </w:r>
          </w:p>
          <w:p w:rsidR="00105FAF" w:rsidRPr="00712265" w:rsidRDefault="00105F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712265">
              <w:rPr>
                <w:sz w:val="28"/>
                <w:szCs w:val="28"/>
              </w:rPr>
              <w:t>-</w:t>
            </w:r>
            <w:r w:rsidR="00D056B3" w:rsidRPr="00712265">
              <w:rPr>
                <w:sz w:val="28"/>
                <w:szCs w:val="28"/>
              </w:rPr>
              <w:t> </w:t>
            </w:r>
            <w:r w:rsidR="00042160" w:rsidRPr="00712265">
              <w:rPr>
                <w:sz w:val="28"/>
                <w:szCs w:val="28"/>
              </w:rPr>
              <w:t xml:space="preserve">участь у здійсненні заходів, спрямованих на виконання договірних </w:t>
            </w:r>
            <w:r w:rsidR="0016378E" w:rsidRPr="00712265">
              <w:rPr>
                <w:sz w:val="28"/>
                <w:szCs w:val="28"/>
              </w:rPr>
              <w:t>зобов’язань</w:t>
            </w:r>
            <w:r w:rsidR="00042160" w:rsidRPr="00712265">
              <w:rPr>
                <w:sz w:val="28"/>
                <w:szCs w:val="28"/>
              </w:rPr>
              <w:t>;</w:t>
            </w:r>
          </w:p>
          <w:p w:rsidR="00657A83" w:rsidRPr="00712265" w:rsidRDefault="00105FAF" w:rsidP="00657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712265">
              <w:rPr>
                <w:sz w:val="28"/>
                <w:szCs w:val="28"/>
              </w:rPr>
              <w:t>-</w:t>
            </w:r>
            <w:r w:rsidR="00042160" w:rsidRPr="00712265">
              <w:rPr>
                <w:sz w:val="28"/>
                <w:szCs w:val="28"/>
              </w:rPr>
              <w:t xml:space="preserve"> здійснення захисту інтересів Мінекономіки у справах </w:t>
            </w:r>
            <w:r w:rsidR="00657A83" w:rsidRPr="00712265">
              <w:rPr>
                <w:sz w:val="28"/>
                <w:szCs w:val="28"/>
              </w:rPr>
              <w:t>про банкрутство державних підприємств, участь у комітетах кредиторів та зборах  кредиторів;</w:t>
            </w:r>
          </w:p>
          <w:p w:rsidR="00105FAF" w:rsidRPr="00712265" w:rsidRDefault="00105F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712265">
              <w:rPr>
                <w:sz w:val="28"/>
                <w:szCs w:val="28"/>
              </w:rPr>
              <w:t>-</w:t>
            </w:r>
            <w:r w:rsidR="00657A83" w:rsidRPr="00712265">
              <w:rPr>
                <w:sz w:val="28"/>
                <w:szCs w:val="28"/>
              </w:rPr>
              <w:t xml:space="preserve"> участь в опрацюванні проектів нормативно-правових актів, які надходять до Мінекономіки та в оформленні висновків за результатами опрацювання проектів нормативно-правових актів на предмет впливу реалізації актів на показники економічного і соціального розвитку, а також відповідності </w:t>
            </w:r>
            <w:r w:rsidR="0016378E" w:rsidRPr="00712265">
              <w:rPr>
                <w:sz w:val="28"/>
                <w:szCs w:val="28"/>
              </w:rPr>
              <w:t>зобов’язанням</w:t>
            </w:r>
            <w:r w:rsidR="00657A83" w:rsidRPr="00712265">
              <w:rPr>
                <w:sz w:val="28"/>
                <w:szCs w:val="28"/>
              </w:rPr>
              <w:t xml:space="preserve"> України за </w:t>
            </w:r>
            <w:r w:rsidR="00657A83" w:rsidRPr="00712265">
              <w:rPr>
                <w:sz w:val="28"/>
                <w:szCs w:val="28"/>
              </w:rPr>
              <w:lastRenderedPageBreak/>
              <w:t>Угодою про заснування Світової організації торгівлі, що подаються на підпис керівництву Мінекономіки, погодження (візування) їх за наявності віз керівників заінтересованих структурних підрозділів;</w:t>
            </w:r>
          </w:p>
          <w:p w:rsidR="001F7DC3" w:rsidRDefault="00657A83" w:rsidP="007860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4"/>
                <w:szCs w:val="24"/>
              </w:rPr>
            </w:pPr>
            <w:r w:rsidRPr="00712265">
              <w:rPr>
                <w:sz w:val="28"/>
                <w:szCs w:val="28"/>
              </w:rPr>
              <w:t>- вивчення та аналіз законодавства України, іноземних</w:t>
            </w:r>
            <w:r w:rsidR="0078603A" w:rsidRPr="00712265">
              <w:rPr>
                <w:sz w:val="28"/>
                <w:szCs w:val="28"/>
              </w:rPr>
              <w:t xml:space="preserve"> країн, норм міжнародного права та судової практики України та інших краї</w:t>
            </w:r>
            <w:r w:rsidR="009F2645">
              <w:rPr>
                <w:sz w:val="28"/>
                <w:szCs w:val="28"/>
              </w:rPr>
              <w:t>н</w:t>
            </w:r>
            <w:r w:rsidR="0078603A" w:rsidRPr="00712265">
              <w:rPr>
                <w:sz w:val="28"/>
                <w:szCs w:val="28"/>
              </w:rPr>
              <w:t xml:space="preserve"> щодо вирішення спорів за участю центральних органів виконавчої влади та підготовка пропозицій директору департаменту, заступнику директора департаменту – начальнику управління, начальнику відділу стосовно можливості використання досвіду інших країн</w:t>
            </w:r>
          </w:p>
        </w:tc>
      </w:tr>
      <w:tr w:rsidR="0033435E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 – 10 600 грн;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33435E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33435E" w:rsidRDefault="00C87356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8">
              <w:r w:rsidR="00916F3A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33435E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Pr="003A029C" w:rsidRDefault="00916F3A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</w:t>
            </w:r>
            <w:r w:rsidR="003A029C" w:rsidRPr="003A029C">
              <w:rPr>
                <w:color w:val="auto"/>
                <w:sz w:val="28"/>
                <w:szCs w:val="28"/>
              </w:rPr>
              <w:t xml:space="preserve">                            </w:t>
            </w:r>
            <w:r w:rsidRPr="003A029C">
              <w:rPr>
                <w:color w:val="auto"/>
                <w:sz w:val="28"/>
                <w:szCs w:val="28"/>
              </w:rPr>
              <w:t xml:space="preserve">від 25 березня 2016 року № 246; </w:t>
            </w:r>
          </w:p>
          <w:p w:rsidR="0033435E" w:rsidRPr="003A029C" w:rsidRDefault="00916F3A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2) резюме за формою згідно з додатком 2</w:t>
            </w:r>
            <w:r w:rsidRPr="003A029C">
              <w:rPr>
                <w:color w:val="auto"/>
                <w:sz w:val="28"/>
                <w:szCs w:val="28"/>
                <w:vertAlign w:val="superscript"/>
              </w:rPr>
              <w:t>1</w:t>
            </w:r>
            <w:r w:rsidRPr="003A029C">
              <w:rPr>
                <w:color w:val="auto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33435E" w:rsidRPr="003A029C" w:rsidRDefault="00916F3A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прізвище, ім’я, по батькові кандидата;</w:t>
            </w:r>
          </w:p>
          <w:p w:rsidR="0033435E" w:rsidRPr="003A029C" w:rsidRDefault="00916F3A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33435E" w:rsidRPr="003A029C" w:rsidRDefault="00916F3A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33435E" w:rsidRPr="003A029C" w:rsidRDefault="00916F3A">
            <w:pPr>
              <w:widowControl/>
              <w:shd w:val="clear" w:color="auto" w:fill="FFFFFF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33435E" w:rsidRPr="003A029C" w:rsidRDefault="00916F3A">
            <w:pPr>
              <w:widowControl/>
              <w:shd w:val="clear" w:color="auto" w:fill="FFFFFF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33435E" w:rsidRPr="003A029C" w:rsidRDefault="00916F3A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</w:t>
            </w:r>
            <w:r w:rsidRPr="003A029C">
              <w:rPr>
                <w:color w:val="auto"/>
                <w:sz w:val="28"/>
                <w:szCs w:val="28"/>
              </w:rPr>
              <w:lastRenderedPageBreak/>
              <w:t>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3435E" w:rsidRPr="003A029C" w:rsidRDefault="00916F3A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Подача додатків до заяви не є обов’язковою.</w:t>
            </w:r>
          </w:p>
          <w:p w:rsidR="0033435E" w:rsidRPr="003A029C" w:rsidRDefault="00A45DBE" w:rsidP="00A45DBE">
            <w:pPr>
              <w:widowControl/>
              <w:ind w:leftChars="0" w:left="1" w:firstLineChars="96" w:firstLine="26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нформація приймається  до 17 год. 00 хв. 22 липня 2021 року.</w:t>
            </w:r>
          </w:p>
        </w:tc>
      </w:tr>
      <w:tr w:rsidR="0033435E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3435E" w:rsidTr="002765F3">
        <w:trPr>
          <w:trHeight w:val="4411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5E" w:rsidRPr="00CF76A6" w:rsidRDefault="00916F3A" w:rsidP="0097525B">
            <w:pPr>
              <w:widowControl/>
              <w:ind w:leftChars="0" w:left="0" w:firstLineChars="0" w:firstLine="0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33435E" w:rsidRPr="00CF76A6" w:rsidRDefault="00916F3A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тестування.</w:t>
            </w:r>
          </w:p>
          <w:p w:rsidR="0033435E" w:rsidRPr="00CF76A6" w:rsidRDefault="0033435E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33435E" w:rsidRPr="00CF76A6" w:rsidRDefault="0033435E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33435E" w:rsidRPr="00CF76A6" w:rsidRDefault="00916F3A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33435E" w:rsidRPr="00CF76A6" w:rsidRDefault="00916F3A" w:rsidP="002765F3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BE" w:rsidRDefault="00A45DBE" w:rsidP="00A45D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29 липня 2021 року з 10 год. 00 хв. до 15 год. 00 хв.</w:t>
            </w:r>
          </w:p>
          <w:p w:rsidR="0033435E" w:rsidRPr="00CF76A6" w:rsidRDefault="0033435E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33435E" w:rsidRPr="00CF76A6" w:rsidRDefault="00916F3A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33435E" w:rsidRPr="00CF76A6" w:rsidRDefault="00916F3A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Cisco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Webex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33435E" w:rsidRPr="00CF76A6" w:rsidRDefault="0033435E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33435E" w:rsidRPr="00CF76A6" w:rsidRDefault="00A45DBE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B72402">
              <w:rPr>
                <w:color w:val="auto"/>
                <w:position w:val="0"/>
                <w:sz w:val="28"/>
                <w:shd w:val="clear" w:color="auto" w:fill="FFFFFF"/>
              </w:rPr>
              <w:t>м. Київ, вул. Грушевського, 12/2</w:t>
            </w:r>
            <w:r>
              <w:rPr>
                <w:sz w:val="28"/>
                <w:szCs w:val="28"/>
              </w:rPr>
              <w:t xml:space="preserve"> (про час та дату </w:t>
            </w:r>
            <w:r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>
              <w:rPr>
                <w:sz w:val="28"/>
                <w:szCs w:val="28"/>
              </w:rPr>
              <w:t>кандидатів буде повідомлено додатково)</w:t>
            </w:r>
            <w:bookmarkStart w:id="1" w:name="_GoBack"/>
            <w:bookmarkEnd w:id="1"/>
          </w:p>
        </w:tc>
      </w:tr>
      <w:tr w:rsidR="0033435E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</w:t>
            </w:r>
            <w:r w:rsidR="00B148E3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B148E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-4</w:t>
            </w:r>
            <w:r w:rsidR="00B148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B148E3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 ilevadnyuk@me.gov.ua;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Кашуба Наталія Анатоліївна, </w:t>
            </w:r>
            <w:r w:rsidR="00A32BF4">
              <w:rPr>
                <w:sz w:val="28"/>
                <w:szCs w:val="28"/>
              </w:rPr>
              <w:t>(044) 200-47-52</w:t>
            </w:r>
            <w:r>
              <w:rPr>
                <w:sz w:val="28"/>
                <w:szCs w:val="28"/>
              </w:rPr>
              <w:t>, nkashuba@me.gov.ua</w:t>
            </w:r>
          </w:p>
          <w:p w:rsidR="0033435E" w:rsidRDefault="0033435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33435E">
        <w:tc>
          <w:tcPr>
            <w:tcW w:w="15323" w:type="dxa"/>
            <w:gridSpan w:val="3"/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33435E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  <w:r w:rsidR="004A0943">
              <w:rPr>
                <w:sz w:val="28"/>
                <w:szCs w:val="28"/>
              </w:rPr>
              <w:t>, спеціальність право</w:t>
            </w:r>
          </w:p>
        </w:tc>
      </w:tr>
      <w:tr w:rsidR="0033435E">
        <w:trPr>
          <w:trHeight w:val="5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33435E">
        <w:trPr>
          <w:trHeight w:val="4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33435E">
        <w:tc>
          <w:tcPr>
            <w:tcW w:w="15323" w:type="dxa"/>
            <w:gridSpan w:val="3"/>
          </w:tcPr>
          <w:p w:rsidR="009706EC" w:rsidRDefault="009706EC" w:rsidP="0067421F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</w:p>
          <w:p w:rsidR="00DA521A" w:rsidRDefault="00DA521A" w:rsidP="0067421F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</w:p>
          <w:p w:rsidR="0033435E" w:rsidRDefault="00916F3A" w:rsidP="0067421F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33435E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33435E">
        <w:trPr>
          <w:trHeight w:val="1986"/>
        </w:trPr>
        <w:tc>
          <w:tcPr>
            <w:tcW w:w="936" w:type="dxa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33435E" w:rsidRDefault="00916F3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26E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33435E">
        <w:trPr>
          <w:trHeight w:val="380"/>
        </w:trPr>
        <w:tc>
          <w:tcPr>
            <w:tcW w:w="936" w:type="dxa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35E" w:rsidRDefault="00916F3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33435E">
        <w:trPr>
          <w:trHeight w:val="684"/>
        </w:trPr>
        <w:tc>
          <w:tcPr>
            <w:tcW w:w="936" w:type="dxa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33435E" w:rsidRDefault="00916F3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33435E">
        <w:tc>
          <w:tcPr>
            <w:tcW w:w="15323" w:type="dxa"/>
            <w:gridSpan w:val="3"/>
            <w:vAlign w:val="center"/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33435E">
        <w:trPr>
          <w:trHeight w:val="37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33435E">
        <w:trPr>
          <w:trHeight w:val="999"/>
        </w:trPr>
        <w:tc>
          <w:tcPr>
            <w:tcW w:w="936" w:type="dxa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33435E" w:rsidRDefault="00916F3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3435E" w:rsidRDefault="00916F3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33435E" w:rsidRDefault="00916F3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33435E" w:rsidTr="00105FAF">
        <w:trPr>
          <w:trHeight w:val="276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33435E" w:rsidRDefault="00916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105FAF" w:rsidRDefault="00105FAF" w:rsidP="00105FAF">
            <w:pPr>
              <w:pStyle w:val="a7"/>
              <w:widowControl/>
              <w:suppressAutoHyphens w:val="0"/>
              <w:spacing w:line="240" w:lineRule="auto"/>
              <w:ind w:leftChars="0" w:left="1" w:firstLineChars="0" w:firstLine="0"/>
              <w:contextualSpacing w:val="0"/>
              <w:jc w:val="left"/>
              <w:textDirection w:val="lrTb"/>
              <w:textAlignment w:val="auto"/>
              <w:outlineLvl w:val="9"/>
            </w:pPr>
            <w:r>
              <w:t>Кодексу України з процедур банкрутства;</w:t>
            </w:r>
          </w:p>
          <w:p w:rsidR="00105FAF" w:rsidRDefault="00105FAF" w:rsidP="00105FAF">
            <w:pPr>
              <w:pStyle w:val="a7"/>
              <w:widowControl/>
              <w:suppressAutoHyphens w:val="0"/>
              <w:spacing w:line="240" w:lineRule="auto"/>
              <w:ind w:leftChars="0" w:left="1" w:firstLineChars="0" w:firstLine="0"/>
              <w:contextualSpacing w:val="0"/>
              <w:jc w:val="left"/>
              <w:textDirection w:val="lrTb"/>
              <w:textAlignment w:val="auto"/>
              <w:outlineLvl w:val="9"/>
            </w:pPr>
            <w:r>
              <w:t>Господарського процесуального кодексу України;</w:t>
            </w:r>
          </w:p>
          <w:p w:rsidR="00105FAF" w:rsidRDefault="00105FAF" w:rsidP="00105FAF">
            <w:pPr>
              <w:pStyle w:val="a7"/>
              <w:widowControl/>
              <w:suppressAutoHyphens w:val="0"/>
              <w:spacing w:line="240" w:lineRule="auto"/>
              <w:ind w:leftChars="0" w:left="1" w:firstLineChars="0" w:firstLine="0"/>
              <w:contextualSpacing w:val="0"/>
              <w:jc w:val="left"/>
              <w:textDirection w:val="lrTb"/>
              <w:textAlignment w:val="auto"/>
              <w:outlineLvl w:val="9"/>
            </w:pPr>
            <w:r>
              <w:t>Цивільного кодексу України;</w:t>
            </w:r>
          </w:p>
          <w:p w:rsidR="00105FAF" w:rsidRDefault="00105FAF" w:rsidP="00105FAF">
            <w:pPr>
              <w:pStyle w:val="a7"/>
              <w:widowControl/>
              <w:suppressAutoHyphens w:val="0"/>
              <w:spacing w:line="240" w:lineRule="auto"/>
              <w:ind w:leftChars="0" w:left="1" w:firstLineChars="0" w:firstLine="0"/>
              <w:contextualSpacing w:val="0"/>
              <w:jc w:val="left"/>
              <w:textDirection w:val="lrTb"/>
              <w:textAlignment w:val="auto"/>
              <w:outlineLvl w:val="9"/>
            </w:pPr>
            <w:r>
              <w:t>Господарського кодексу України</w:t>
            </w:r>
          </w:p>
          <w:p w:rsidR="00105FAF" w:rsidRDefault="00105FAF" w:rsidP="00105FAF">
            <w:pPr>
              <w:pStyle w:val="a7"/>
              <w:widowControl/>
              <w:suppressAutoHyphens w:val="0"/>
              <w:spacing w:line="240" w:lineRule="auto"/>
              <w:ind w:leftChars="0" w:left="1" w:firstLineChars="0" w:firstLine="0"/>
              <w:contextualSpacing w:val="0"/>
              <w:jc w:val="left"/>
              <w:textDirection w:val="lrTb"/>
              <w:textAlignment w:val="auto"/>
              <w:outlineLvl w:val="9"/>
            </w:pPr>
            <w:r>
              <w:t>Кодексу адміністративного судочинства України;</w:t>
            </w:r>
          </w:p>
          <w:p w:rsidR="00105FAF" w:rsidRDefault="00105FAF" w:rsidP="00105FAF">
            <w:pPr>
              <w:pStyle w:val="a7"/>
              <w:widowControl/>
              <w:suppressAutoHyphens w:val="0"/>
              <w:spacing w:line="240" w:lineRule="auto"/>
              <w:ind w:leftChars="0" w:left="1" w:firstLineChars="0" w:firstLine="0"/>
              <w:contextualSpacing w:val="0"/>
              <w:jc w:val="left"/>
              <w:textDirection w:val="lrTb"/>
              <w:textAlignment w:val="auto"/>
              <w:outlineLvl w:val="9"/>
            </w:pPr>
            <w:r>
              <w:t>Кримінального кодексу України;</w:t>
            </w:r>
          </w:p>
          <w:p w:rsidR="0033435E" w:rsidRPr="00245B4E" w:rsidRDefault="00105FAF" w:rsidP="00B30951">
            <w:pPr>
              <w:pStyle w:val="a7"/>
              <w:widowControl/>
              <w:suppressAutoHyphens w:val="0"/>
              <w:spacing w:line="240" w:lineRule="auto"/>
              <w:ind w:leftChars="0" w:left="1" w:firstLineChars="0" w:firstLine="0"/>
              <w:contextualSpacing w:val="0"/>
              <w:jc w:val="left"/>
              <w:textDirection w:val="lrTb"/>
              <w:textAlignment w:val="auto"/>
              <w:outlineLvl w:val="9"/>
            </w:pPr>
            <w:r>
              <w:t>Закону України «Про управління об’єктами державної власності»</w:t>
            </w:r>
          </w:p>
        </w:tc>
      </w:tr>
    </w:tbl>
    <w:p w:rsidR="0033435E" w:rsidRDefault="0033435E" w:rsidP="00105F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33435E" w:rsidSect="009975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539" w:bottom="142" w:left="851" w:header="510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356" w:rsidRDefault="00C87356">
      <w:pPr>
        <w:spacing w:line="240" w:lineRule="auto"/>
        <w:ind w:left="0" w:hanging="2"/>
      </w:pPr>
      <w:r>
        <w:separator/>
      </w:r>
    </w:p>
  </w:endnote>
  <w:endnote w:type="continuationSeparator" w:id="0">
    <w:p w:rsidR="00C87356" w:rsidRDefault="00C873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356" w:rsidRDefault="00C87356">
      <w:pPr>
        <w:spacing w:line="240" w:lineRule="auto"/>
        <w:ind w:left="0" w:hanging="2"/>
      </w:pPr>
      <w:r>
        <w:separator/>
      </w:r>
    </w:p>
  </w:footnote>
  <w:footnote w:type="continuationSeparator" w:id="0">
    <w:p w:rsidR="00C87356" w:rsidRDefault="00C873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5E" w:rsidRDefault="0033435E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17049"/>
    <w:multiLevelType w:val="hybridMultilevel"/>
    <w:tmpl w:val="EB92D644"/>
    <w:lvl w:ilvl="0" w:tplc="36FE3F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5E"/>
    <w:rsid w:val="00032024"/>
    <w:rsid w:val="00042160"/>
    <w:rsid w:val="00105FAF"/>
    <w:rsid w:val="0016378E"/>
    <w:rsid w:val="00180886"/>
    <w:rsid w:val="001E27EF"/>
    <w:rsid w:val="001F7DC3"/>
    <w:rsid w:val="00245B4E"/>
    <w:rsid w:val="002765F3"/>
    <w:rsid w:val="003326E5"/>
    <w:rsid w:val="0033435E"/>
    <w:rsid w:val="003A029C"/>
    <w:rsid w:val="003F629E"/>
    <w:rsid w:val="00467638"/>
    <w:rsid w:val="004A0943"/>
    <w:rsid w:val="004B273A"/>
    <w:rsid w:val="004F0DBC"/>
    <w:rsid w:val="00545EE9"/>
    <w:rsid w:val="00657A83"/>
    <w:rsid w:val="0067421F"/>
    <w:rsid w:val="006C2A22"/>
    <w:rsid w:val="00712265"/>
    <w:rsid w:val="00756307"/>
    <w:rsid w:val="0078603A"/>
    <w:rsid w:val="007D75A4"/>
    <w:rsid w:val="0087408F"/>
    <w:rsid w:val="008D5BEC"/>
    <w:rsid w:val="00916F3A"/>
    <w:rsid w:val="0093023D"/>
    <w:rsid w:val="009706EC"/>
    <w:rsid w:val="0097525B"/>
    <w:rsid w:val="0099758B"/>
    <w:rsid w:val="009B783E"/>
    <w:rsid w:val="009F14F3"/>
    <w:rsid w:val="009F2645"/>
    <w:rsid w:val="00A14267"/>
    <w:rsid w:val="00A32BF4"/>
    <w:rsid w:val="00A45DBE"/>
    <w:rsid w:val="00B148E3"/>
    <w:rsid w:val="00B30951"/>
    <w:rsid w:val="00B706FE"/>
    <w:rsid w:val="00BB3A66"/>
    <w:rsid w:val="00C42532"/>
    <w:rsid w:val="00C87356"/>
    <w:rsid w:val="00CF76A6"/>
    <w:rsid w:val="00D056B3"/>
    <w:rsid w:val="00D47854"/>
    <w:rsid w:val="00D656F4"/>
    <w:rsid w:val="00DA521A"/>
    <w:rsid w:val="00DC42B5"/>
    <w:rsid w:val="00DF6507"/>
    <w:rsid w:val="00E30D54"/>
    <w:rsid w:val="00E35640"/>
    <w:rsid w:val="00EF6145"/>
    <w:rsid w:val="00F0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0790"/>
  <w15:docId w15:val="{1D24D634-5442-435A-B5C2-47E6848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header"/>
    <w:basedOn w:val="a"/>
    <w:link w:val="afb"/>
    <w:uiPriority w:val="99"/>
    <w:unhideWhenUsed/>
    <w:rsid w:val="00DF6507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DF6507"/>
    <w:rPr>
      <w:color w:val="00000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237?ed=2021_03_24&amp;an=6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uf3IHWfABxXNPTszBt36o0oWQ==">AMUW2mXcrBEA6Ho0Lz3iZ0QukIh4P3QeaJKseDrGhVIRzlMuJjIuUGHYZdUexTf6bP8/KO8/Q5SXIhhsguqTJs7BEE04oGVFqGraUG4ne6SRHNVWNot5Vj5onBTleIJwbs9wx+oXMwsY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4694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Кашуба Наталія Анатоліївна</cp:lastModifiedBy>
  <cp:revision>42</cp:revision>
  <dcterms:created xsi:type="dcterms:W3CDTF">2021-03-26T13:25:00Z</dcterms:created>
  <dcterms:modified xsi:type="dcterms:W3CDTF">2021-07-15T15:46:00Z</dcterms:modified>
</cp:coreProperties>
</file>