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ind w:left="1417.32283464566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ind w:left="1417.32283464566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                                      економіки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ind w:left="1417.32283464566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25.05.2021 р. № 27-д</w:t>
            </w:r>
          </w:p>
          <w:p w:rsidR="00000000" w:rsidDel="00000000" w:rsidP="00000000" w:rsidRDefault="00000000" w:rsidRPr="00000000" w14:paraId="00000005">
            <w:pPr>
              <w:widowControl w:val="1"/>
              <w:ind w:left="1417.3228346456694" w:firstLine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заступника начальника відділу регулювання зовнішньоекономічних операцій та обмежувальних заходів управління регулювання зовнішньоекономічної діяльності департаменту зовнішньоекономічної діяльності та торговельного захисту</w:t>
      </w:r>
      <w:r w:rsidDel="00000000" w:rsidR="00000000" w:rsidRPr="00000000">
        <w:rPr>
          <w:sz w:val="28"/>
          <w:szCs w:val="28"/>
          <w:rtl w:val="0"/>
        </w:rPr>
        <w:t xml:space="preserve">, категорія «Б»</w:t>
      </w:r>
      <w:r w:rsidDel="00000000" w:rsidR="00000000" w:rsidRPr="00000000">
        <w:rPr>
          <w:rtl w:val="0"/>
        </w:rPr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82"/>
        <w:gridCol w:w="10205"/>
        <w:tblGridChange w:id="0">
          <w:tblGrid>
            <w:gridCol w:w="936"/>
            <w:gridCol w:w="4182"/>
            <w:gridCol w:w="1020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1255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-участь в організації роботи та контроль дотримання термінів виконання завдань з узагальнення практики застосування законодавства з питань регулювання зовнішньоекономічних операцій, здійснення аналізу ефективності інструментів державного регулювання зовнішньоекономічної діяльності, розроблення пропозицій щодо вдосконалення або прийняття нових законодавчих та інших нормативно-правових актів стосовно механізмів державного регулювання зовнішньоекономічної діяльності;</w:t>
            </w:r>
          </w:p>
          <w:p w:rsidR="00000000" w:rsidDel="00000000" w:rsidP="00000000" w:rsidRDefault="00000000" w:rsidRPr="00000000" w14:paraId="0000000F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-участь в організації роботи та контроль дотримання термінів виконання завдань з підготовки та опрацювання пропозицій щодо регулювання зовнішньоекономічних операцій та обмежувальних заходів, зокрема щодо запровадження ліцензування і квотування у сфері зовнішньої торгівлі;</w:t>
            </w:r>
          </w:p>
          <w:p w:rsidR="00000000" w:rsidDel="00000000" w:rsidP="00000000" w:rsidRDefault="00000000" w:rsidRPr="00000000" w14:paraId="00000010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-участь в опрацюванні проектів нормативно-правових актів з питань здійснення суб’єктами зовнішньоекономічної діяльності зовнішньоекономічних операцій та з питань митної політики, організація роботи з підготовки та погодження відповідних висновків на предмет впливу реалізації актів на показники економічного та соціального розвитку, а також відповідності зобов’язанням України за Угодою про заснування Світової організації торгівлі;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участь в організації роботи та контроль дотримання термінів виконання: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завдань з питань протидії відмиванню (легалізації) доходів, одержаних злочинним шляхом, та фінансуванню тероризму та з інших питань, пов’язаних з фінансовим моніторингом;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аналізу міжнародного законодавства та підготовки проектів нормативно-правових актів щодо оновлення переліку офшорних зон у випадках, визначених законодавством;</w:t>
            </w:r>
          </w:p>
          <w:p w:rsidR="00000000" w:rsidDel="00000000" w:rsidP="00000000" w:rsidRDefault="00000000" w:rsidRPr="00000000" w14:paraId="00000014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-участь в організації роботи із опрацювання документів, надісланих заявниками для отримання результатів надання адміністративних послуг у сфері зовнішньоекономічної діяльності, у межах визначених законодавством повноважень;</w:t>
            </w:r>
          </w:p>
          <w:p w:rsidR="00000000" w:rsidDel="00000000" w:rsidP="00000000" w:rsidRDefault="00000000" w:rsidRPr="00000000" w14:paraId="00000015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-забезпечення взаємодії з органами виконавчої влади, професійними об’єднаннями, асоціаціями товаровиробників та суб’єктами господарської діяльності з питань регулювання зовнішньоекономічних операцій, обмежувальних заходів, фінансового моніторингу та митної політики в межах компетенції відділу;</w:t>
            </w:r>
          </w:p>
          <w:p w:rsidR="00000000" w:rsidDel="00000000" w:rsidP="00000000" w:rsidRDefault="00000000" w:rsidRPr="00000000" w14:paraId="00000016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-надання методичної допомоги центральним органам виконавчої влади та іншим органам державної влади, органам місцевого самоврядування, організаціям, підприємствам та установам, структурним підрозділам Мінекономіки з питань додержання суб’єктами зовнішньоекономічної діяльності законодавства України під час здійснення ними зовнішньоекономічних операцій;</w:t>
            </w:r>
          </w:p>
          <w:p w:rsidR="00000000" w:rsidDel="00000000" w:rsidP="00000000" w:rsidRDefault="00000000" w:rsidRPr="00000000" w14:paraId="00000017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-підготовка аналітичних, інформаційних, довідкових та інших матеріалів з питань, що належать до сфери компетенції відділу, та подання на розгляд керівництва Мінекономіки та департаменту зовнішньоекономічної діяльності та торговельного захисту;</w:t>
            </w:r>
          </w:p>
          <w:p w:rsidR="00000000" w:rsidDel="00000000" w:rsidP="00000000" w:rsidRDefault="00000000" w:rsidRPr="00000000" w14:paraId="00000018">
            <w:pPr>
              <w:widowControl w:val="1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-участь у забезпеченні захисту економічних прав і законних інтересів України та її суб’єктів господарювання;</w:t>
            </w:r>
          </w:p>
          <w:p w:rsidR="00000000" w:rsidDel="00000000" w:rsidP="00000000" w:rsidRDefault="00000000" w:rsidRPr="00000000" w14:paraId="00000019">
            <w:pPr>
              <w:widowControl w:val="1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-організація роботи з підготовки матеріалів для забезпечення роботи комісій, створених рішеннями Уряду, наказами Мінекономіки, з питань компетенції відділу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12 100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грн;</w:t>
            </w:r>
          </w:p>
          <w:p w:rsidR="00000000" w:rsidDel="00000000" w:rsidP="00000000" w:rsidRDefault="00000000" w:rsidRPr="00000000" w14:paraId="0000001D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22">
            <w:pPr>
              <w:widowControl w:val="1"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6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 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7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8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9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A">
            <w:pPr>
              <w:widowControl w:val="1"/>
              <w:shd w:fill="ffffff" w:val="clear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B">
            <w:pPr>
              <w:widowControl w:val="1"/>
              <w:shd w:fill="ffffff" w:val="clear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D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Інформація приймається  до 17 год. 00 хв. 02 червня 2021 року.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</w:t>
            </w:r>
          </w:p>
          <w:p w:rsidR="00000000" w:rsidDel="00000000" w:rsidP="00000000" w:rsidRDefault="00000000" w:rsidRPr="00000000" w14:paraId="00000037">
            <w:pPr>
              <w:widowControl w:val="1"/>
              <w:spacing w:before="28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8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04 червня 2021 року з 10 год. 00 хв. до 15 год. 00 хв.</w:t>
            </w:r>
          </w:p>
          <w:p w:rsidR="00000000" w:rsidDel="00000000" w:rsidP="00000000" w:rsidRDefault="00000000" w:rsidRPr="00000000" w14:paraId="0000003B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D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Проведення співбесіди дистанційно. Платформа Cisco Webex (про час та дату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кандидатів буде повідомлено додатково)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(044) 200-47-52, ilevadnyuk@me.gov.ua;</w:t>
            </w:r>
          </w:p>
          <w:p w:rsidR="00000000" w:rsidDel="00000000" w:rsidP="00000000" w:rsidRDefault="00000000" w:rsidRPr="00000000" w14:paraId="00000044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5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магістра</w:t>
            </w:r>
          </w:p>
        </w:tc>
      </w:tr>
      <w:tr>
        <w:trPr>
          <w:trHeight w:val="1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 на посадах державної служби </w:t>
            </w:r>
            <w:hyperlink r:id="rId8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категорій “Б</w:t>
              </w:r>
            </w:hyperlink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чи </w:t>
            </w:r>
            <w:hyperlink r:id="rId9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“В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5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Лідерство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мотивувати до ефективної професійної діяльності;</w:t>
            </w:r>
          </w:p>
          <w:p w:rsidR="00000000" w:rsidDel="00000000" w:rsidP="00000000" w:rsidRDefault="00000000" w:rsidRPr="00000000" w14:paraId="0000005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делегувати повноваження та управляти результатами діяльності;</w:t>
            </w:r>
          </w:p>
          <w:p w:rsidR="00000000" w:rsidDel="00000000" w:rsidP="00000000" w:rsidRDefault="00000000" w:rsidRPr="00000000" w14:paraId="0000005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Стратегічне управління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бачення загальної картини та довгострокових цілей;</w:t>
            </w:r>
          </w:p>
          <w:p w:rsidR="00000000" w:rsidDel="00000000" w:rsidP="00000000" w:rsidRDefault="00000000" w:rsidRPr="00000000" w14:paraId="0000006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визначати напрям та формувати відповідні плани розвитку;</w:t>
            </w:r>
          </w:p>
          <w:p w:rsidR="00000000" w:rsidDel="00000000" w:rsidP="00000000" w:rsidRDefault="00000000" w:rsidRPr="00000000" w14:paraId="0000006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рішучість та наполегливість у впровадженні змін;</w:t>
            </w:r>
          </w:p>
          <w:p w:rsidR="00000000" w:rsidDel="00000000" w:rsidP="00000000" w:rsidRDefault="00000000" w:rsidRPr="00000000" w14:paraId="0000006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залучення впливових сторін;</w:t>
            </w:r>
          </w:p>
          <w:p w:rsidR="00000000" w:rsidDel="00000000" w:rsidP="00000000" w:rsidRDefault="00000000" w:rsidRPr="00000000" w14:paraId="0000006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оцінка ефективності на корегування планів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Прийняття ефективних рішень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приймати вчасні та виважені рішення;</w:t>
            </w:r>
          </w:p>
          <w:p w:rsidR="00000000" w:rsidDel="00000000" w:rsidP="00000000" w:rsidRDefault="00000000" w:rsidRPr="00000000" w14:paraId="0000006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аналіз альтернатив;</w:t>
            </w:r>
          </w:p>
          <w:p w:rsidR="00000000" w:rsidDel="00000000" w:rsidP="00000000" w:rsidRDefault="00000000" w:rsidRPr="00000000" w14:paraId="0000006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автономність та ініціативність щодо пропозицій і рішень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6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3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зовнішньоекономічну діяльність»;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ліцензування видів господарської діяльності»;</w:t>
            </w:r>
          </w:p>
          <w:p w:rsidR="00000000" w:rsidDel="00000000" w:rsidP="00000000" w:rsidRDefault="00000000" w:rsidRPr="00000000" w14:paraId="0000007B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Угоди (СОТ) про процедури ліцензування імпорту;</w:t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наказу Мінекономіки від 01.08.2002 № 232 «Про порядок ліцензування імпорту товарів в Україну, які є об'єктом застосування спеціальних заходів», зареєстрованого Мін’юстом 21.08.2002 за № 685/6973 (зі змінами)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0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hAnsi="Courier New"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sz w:val="28"/>
      <w:szCs w:val="24"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sz w:val="24"/>
      <w:szCs w:val="24"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 w:val="1"/>
      <w:sz w:val="24"/>
      <w:szCs w:val="24"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noProof w:val="1"/>
      <w:position w:val="-1"/>
    </w:rPr>
  </w:style>
  <w:style w:type="paragraph" w:styleId="12" w:customStyle="1">
    <w:name w:val="Звичайний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kon3.rada.gov.ua/laws/show/889-19/print1442832951374430#n9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yperlink" Target="http://zakon3.rada.gov.ua/laws/show/889-19/print1442832951374430#n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cGze1IHaLSJaq5mYipje7FoUg==">AMUW2mV5q48cEPUtc9z9LqHsdtEASGaRDr7lJzEC/u8RaCuClunLEM/8rfc8JjJxNmXF6YN82xmWwIRp8Vq/HrFnNVEPDJIOxGBfnrcfR6iCn/3C6BSXCNIDj3mTc3utF6CJABwF6sip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2021-03-26T13:21:00Z</dcterms:created>
  <dc:creator>андрущенко</dc:creator>
</cp:coreProperties>
</file>