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8BB" w:rsidRDefault="007E78B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7E78BB" w:rsidRDefault="007E78BB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8"/>
        <w:tblW w:w="3118" w:type="dxa"/>
        <w:tblInd w:w="12333" w:type="dxa"/>
        <w:tblLayout w:type="fixed"/>
        <w:tblLook w:val="0000" w:firstRow="0" w:lastRow="0" w:firstColumn="0" w:lastColumn="0" w:noHBand="0" w:noVBand="0"/>
      </w:tblPr>
      <w:tblGrid>
        <w:gridCol w:w="3118"/>
      </w:tblGrid>
      <w:tr w:rsidR="007E78BB" w:rsidTr="00D25827">
        <w:tc>
          <w:tcPr>
            <w:tcW w:w="3118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</w:tc>
      </w:tr>
      <w:tr w:rsidR="007E78BB" w:rsidTr="00D25827">
        <w:tc>
          <w:tcPr>
            <w:tcW w:w="3118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наказом Міністерства                                       економіки України</w:t>
            </w:r>
          </w:p>
        </w:tc>
      </w:tr>
      <w:tr w:rsidR="007E78BB" w:rsidTr="00D25827">
        <w:tc>
          <w:tcPr>
            <w:tcW w:w="3118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0E2770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.0</w:t>
            </w:r>
            <w:r w:rsidR="000E277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.2021 р. № </w:t>
            </w:r>
            <w:r w:rsidR="00880E8E">
              <w:rPr>
                <w:sz w:val="28"/>
                <w:szCs w:val="28"/>
                <w:lang w:val="en-US"/>
              </w:rPr>
              <w:t>4</w:t>
            </w:r>
            <w:r w:rsidR="000E277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-д</w:t>
            </w:r>
          </w:p>
          <w:p w:rsidR="007E78BB" w:rsidRDefault="007E78BB">
            <w:pPr>
              <w:widowControl/>
              <w:rPr>
                <w:sz w:val="10"/>
                <w:szCs w:val="10"/>
              </w:rPr>
            </w:pPr>
          </w:p>
        </w:tc>
      </w:tr>
    </w:tbl>
    <w:p w:rsidR="007E78BB" w:rsidRDefault="007E78BB">
      <w:pPr>
        <w:widowControl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7E78BB" w:rsidRDefault="00AE0F7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  <w:r>
        <w:rPr>
          <w:b/>
          <w:sz w:val="28"/>
          <w:szCs w:val="28"/>
        </w:rPr>
        <w:br/>
        <w:t xml:space="preserve">проведення конкурсу </w:t>
      </w:r>
    </w:p>
    <w:p w:rsidR="007E78BB" w:rsidRDefault="00AE0F7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на зайняття посади державної служби </w:t>
      </w:r>
      <w:r w:rsidR="002D0AA7">
        <w:rPr>
          <w:sz w:val="28"/>
          <w:szCs w:val="28"/>
        </w:rPr>
        <w:t>начальника відділу державної політики експорту департаменту взаємодії з експортерами та просування експорту</w:t>
      </w:r>
      <w:r>
        <w:rPr>
          <w:sz w:val="28"/>
          <w:szCs w:val="28"/>
        </w:rPr>
        <w:t>, категорія «Б»</w:t>
      </w:r>
    </w:p>
    <w:tbl>
      <w:tblPr>
        <w:tblStyle w:val="af9"/>
        <w:tblW w:w="15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182"/>
        <w:gridCol w:w="10205"/>
      </w:tblGrid>
      <w:tr w:rsidR="007E78BB">
        <w:tc>
          <w:tcPr>
            <w:tcW w:w="15323" w:type="dxa"/>
            <w:gridSpan w:val="3"/>
            <w:vAlign w:val="center"/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7E78BB">
        <w:trPr>
          <w:trHeight w:val="1255"/>
        </w:trPr>
        <w:tc>
          <w:tcPr>
            <w:tcW w:w="5118" w:type="dxa"/>
            <w:gridSpan w:val="2"/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205" w:type="dxa"/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31DE8">
              <w:rPr>
                <w:sz w:val="28"/>
                <w:szCs w:val="28"/>
              </w:rPr>
              <w:t> </w:t>
            </w:r>
            <w:r w:rsidR="00BF4824">
              <w:rPr>
                <w:sz w:val="28"/>
                <w:szCs w:val="28"/>
              </w:rPr>
              <w:t xml:space="preserve">розроблення та забезпечення здійснення заходів для покращення якості послуг з підтримки бізнесу і торгівлі, спрямованих на підвищення конкурентоспроможності українських суб’єктів господарювання, відповідно до Національної експортної стратегії (Експортної стратегії України) та планування завдань і заходів з її реалізації; 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31DE8">
              <w:rPr>
                <w:sz w:val="28"/>
                <w:szCs w:val="28"/>
              </w:rPr>
              <w:t> </w:t>
            </w:r>
            <w:r w:rsidR="00BF4824">
              <w:rPr>
                <w:sz w:val="28"/>
                <w:szCs w:val="28"/>
              </w:rPr>
              <w:t>забезпечення впровадження та перегляду Національної експортної стратегії (Експортної стратегії України) та плану завдань і заходів з її реалізації; здійснення моніторингу імплементації Національної експортної стратегії (Експортної стратегії України)</w:t>
            </w:r>
            <w:r>
              <w:rPr>
                <w:sz w:val="28"/>
                <w:szCs w:val="28"/>
              </w:rPr>
              <w:t>;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31DE8">
              <w:rPr>
                <w:sz w:val="28"/>
                <w:szCs w:val="28"/>
              </w:rPr>
              <w:t> </w:t>
            </w:r>
            <w:r w:rsidR="00E1244F">
              <w:rPr>
                <w:sz w:val="28"/>
                <w:szCs w:val="28"/>
              </w:rPr>
              <w:t xml:space="preserve">організаційне забезпечення роботи Ради з міжнародної торгівлі при Кабінеті Міністрів </w:t>
            </w:r>
            <w:r w:rsidR="00210DBD">
              <w:rPr>
                <w:sz w:val="28"/>
                <w:szCs w:val="28"/>
              </w:rPr>
              <w:t>У</w:t>
            </w:r>
            <w:r w:rsidR="00E1244F">
              <w:rPr>
                <w:sz w:val="28"/>
                <w:szCs w:val="28"/>
              </w:rPr>
              <w:t>країни</w:t>
            </w:r>
            <w:r w:rsidR="001D0AA3">
              <w:rPr>
                <w:sz w:val="28"/>
                <w:szCs w:val="28"/>
              </w:rPr>
              <w:t xml:space="preserve"> (підготовка проектів порядків денних на підставі пропозицій заінтересованих сторін, збір та узагальнення матеріалів та винесення їх на розгляд Ради, ведення протоколів засідань Ради та підготовка іншої документації, пов’язаної з її діяльністю)</w:t>
            </w:r>
            <w:r>
              <w:rPr>
                <w:sz w:val="28"/>
                <w:szCs w:val="28"/>
              </w:rPr>
              <w:t>;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31DE8">
              <w:rPr>
                <w:sz w:val="28"/>
                <w:szCs w:val="28"/>
              </w:rPr>
              <w:t> </w:t>
            </w:r>
            <w:r w:rsidR="001D0AA3">
              <w:rPr>
                <w:sz w:val="28"/>
                <w:szCs w:val="28"/>
              </w:rPr>
              <w:t>організація роботи щодо залучення технічної допомоги, розроблення проектів технічної допомоги, спрямованої на розв’язання завдань (в межах компетенції)</w:t>
            </w:r>
            <w:r>
              <w:rPr>
                <w:sz w:val="28"/>
                <w:szCs w:val="28"/>
              </w:rPr>
              <w:t>;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31DE8">
              <w:rPr>
                <w:sz w:val="28"/>
                <w:szCs w:val="28"/>
              </w:rPr>
              <w:t> </w:t>
            </w:r>
            <w:r w:rsidR="001D0AA3">
              <w:rPr>
                <w:sz w:val="28"/>
                <w:szCs w:val="28"/>
              </w:rPr>
              <w:t>участь у підготовці нормативно-правових актів, які розробляються Мінекономіки, у сфері зовнішньоекономічної діяльності України, у тому числі спрямованих на розвиток експорту та спрощення умов міжнародної торгівлі</w:t>
            </w:r>
            <w:r>
              <w:rPr>
                <w:sz w:val="28"/>
                <w:szCs w:val="28"/>
              </w:rPr>
              <w:t>;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31DE8">
              <w:rPr>
                <w:sz w:val="28"/>
                <w:szCs w:val="28"/>
              </w:rPr>
              <w:t> </w:t>
            </w:r>
            <w:r w:rsidR="001D0AA3">
              <w:rPr>
                <w:sz w:val="28"/>
                <w:szCs w:val="28"/>
              </w:rPr>
              <w:t>участь у підготовці висновку до проекту акту на предмет впливу його реалізації на показники економічного і соціального розвитку (в межах компетенції)</w:t>
            </w:r>
            <w:r>
              <w:rPr>
                <w:sz w:val="28"/>
                <w:szCs w:val="28"/>
              </w:rPr>
              <w:t>;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131DE8">
              <w:rPr>
                <w:sz w:val="28"/>
                <w:szCs w:val="28"/>
              </w:rPr>
              <w:t> </w:t>
            </w:r>
            <w:r w:rsidR="006D5FCE">
              <w:rPr>
                <w:sz w:val="28"/>
                <w:szCs w:val="28"/>
              </w:rPr>
              <w:t>забезпечення збору інформації від структурних підрозділів Мінекономіки для наповнення експортного веб-порталу для інформаційної підтримки експортерів</w:t>
            </w:r>
            <w:r>
              <w:rPr>
                <w:sz w:val="28"/>
                <w:szCs w:val="28"/>
              </w:rPr>
              <w:t>;</w:t>
            </w:r>
          </w:p>
          <w:p w:rsidR="007E78BB" w:rsidRPr="00EB7E0A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bookmarkStart w:id="0" w:name="_heading=h.30j0zll" w:colFirst="0" w:colLast="0"/>
            <w:bookmarkEnd w:id="0"/>
            <w:r>
              <w:rPr>
                <w:sz w:val="28"/>
                <w:szCs w:val="28"/>
              </w:rPr>
              <w:t>-</w:t>
            </w:r>
            <w:r w:rsidR="00EB7E0A">
              <w:rPr>
                <w:sz w:val="28"/>
                <w:szCs w:val="28"/>
                <w:lang w:val="en-US"/>
              </w:rPr>
              <w:t> </w:t>
            </w:r>
            <w:r w:rsidR="00EB7E0A">
              <w:rPr>
                <w:sz w:val="28"/>
                <w:szCs w:val="28"/>
              </w:rPr>
              <w:t>організація взаємодії з об’єднаннями суб’єктів господарської діяльності та громадськими організаціями з метою впровадження та виконання заходів з підтримки експорту</w:t>
            </w:r>
            <w:r w:rsidR="00361CA2">
              <w:rPr>
                <w:sz w:val="28"/>
                <w:szCs w:val="28"/>
              </w:rPr>
              <w:t>;</w:t>
            </w:r>
          </w:p>
          <w:p w:rsidR="006D5FCE" w:rsidRDefault="006D5FC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361CA2">
              <w:rPr>
                <w:sz w:val="28"/>
                <w:szCs w:val="28"/>
              </w:rPr>
              <w:t>організація проведення нарад, засідань, робочих груп, конференцій, семінарів, інших публічних заходів з питань, що належать до компетенції відділу;</w:t>
            </w:r>
          </w:p>
          <w:p w:rsidR="006D5FCE" w:rsidRDefault="006D5FC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361CA2">
              <w:rPr>
                <w:sz w:val="28"/>
                <w:szCs w:val="28"/>
              </w:rPr>
              <w:t>участь у розгляді звернень експортерів товарів, робіт і послуг та підготовки відповідей за їх результатами, ініціювання прийняття заходів щодо вирішення проблемних питань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205" w:type="dxa"/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sz w:val="28"/>
                <w:szCs w:val="28"/>
              </w:rPr>
              <w:t xml:space="preserve">посадовий оклад </w:t>
            </w:r>
            <w:r w:rsidRPr="00361CA2">
              <w:rPr>
                <w:sz w:val="28"/>
                <w:szCs w:val="28"/>
              </w:rPr>
              <w:t xml:space="preserve">– </w:t>
            </w:r>
            <w:r w:rsidR="002D0AA7" w:rsidRPr="00361CA2">
              <w:rPr>
                <w:sz w:val="28"/>
                <w:szCs w:val="28"/>
              </w:rPr>
              <w:t>13</w:t>
            </w:r>
            <w:r w:rsidRPr="00361CA2">
              <w:rPr>
                <w:sz w:val="28"/>
                <w:szCs w:val="28"/>
              </w:rPr>
              <w:t xml:space="preserve"> </w:t>
            </w:r>
            <w:r w:rsidR="002D0AA7" w:rsidRPr="00361CA2">
              <w:rPr>
                <w:sz w:val="28"/>
                <w:szCs w:val="28"/>
              </w:rPr>
              <w:t>7</w:t>
            </w:r>
            <w:r w:rsidRPr="00361CA2">
              <w:rPr>
                <w:sz w:val="28"/>
                <w:szCs w:val="28"/>
              </w:rPr>
              <w:t>00 грн</w:t>
            </w:r>
            <w:r>
              <w:rPr>
                <w:sz w:val="28"/>
                <w:szCs w:val="28"/>
              </w:rPr>
              <w:t>;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безстроково;</w:t>
            </w:r>
          </w:p>
          <w:p w:rsidR="007E78BB" w:rsidRDefault="000E2770">
            <w:pPr>
              <w:widowControl/>
              <w:ind w:left="0" w:hanging="2"/>
              <w:jc w:val="both"/>
              <w:rPr>
                <w:sz w:val="28"/>
                <w:szCs w:val="28"/>
              </w:rPr>
            </w:pPr>
            <w:hyperlink r:id="rId5">
              <w:r w:rsidR="00AE0F79">
                <w:rPr>
                  <w:sz w:val="28"/>
                  <w:szCs w:val="28"/>
                  <w:highlight w:val="white"/>
                </w:rPr>
  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61" w:rsidRDefault="000E3061" w:rsidP="000E306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                від 25 березня 2016 року № 246; </w:t>
            </w:r>
          </w:p>
          <w:p w:rsidR="000E3061" w:rsidRDefault="000E3061" w:rsidP="000E306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резюме за формою згідно з додатком 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0E3061" w:rsidRDefault="000E3061" w:rsidP="000E306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кандидата;</w:t>
            </w:r>
          </w:p>
          <w:p w:rsidR="000E3061" w:rsidRDefault="000E3061" w:rsidP="000E306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0E3061" w:rsidRDefault="000E3061" w:rsidP="000E306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0E3061" w:rsidRDefault="000E3061" w:rsidP="000E3061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0E3061" w:rsidRDefault="000E3061" w:rsidP="000E306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E3061" w:rsidRDefault="000E3061" w:rsidP="000E306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додатків до заяви не є обов’язковою;</w:t>
            </w:r>
          </w:p>
          <w:p w:rsidR="000E3061" w:rsidRDefault="000E3061" w:rsidP="000E306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) </w:t>
            </w:r>
            <w:r w:rsidRPr="007D2E0C">
              <w:rPr>
                <w:sz w:val="28"/>
                <w:szCs w:val="28"/>
              </w:rPr>
              <w:t>копі</w:t>
            </w:r>
            <w:r>
              <w:rPr>
                <w:sz w:val="28"/>
                <w:szCs w:val="28"/>
              </w:rPr>
              <w:t>я</w:t>
            </w:r>
            <w:r w:rsidRPr="007D2E0C">
              <w:rPr>
                <w:sz w:val="28"/>
                <w:szCs w:val="28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sz w:val="28"/>
                <w:szCs w:val="28"/>
              </w:rPr>
              <w:t>.</w:t>
            </w:r>
          </w:p>
          <w:p w:rsidR="000E3061" w:rsidRPr="00CC65B7" w:rsidRDefault="000E3061" w:rsidP="000E306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064668">
              <w:rPr>
                <w:sz w:val="28"/>
                <w:szCs w:val="28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</w:t>
            </w:r>
            <w:r>
              <w:rPr>
                <w:sz w:val="28"/>
                <w:szCs w:val="28"/>
              </w:rPr>
              <w:t xml:space="preserve"> (додаток резюме встановленої форми)</w:t>
            </w:r>
            <w:r w:rsidRPr="00064668">
              <w:rPr>
                <w:sz w:val="28"/>
                <w:szCs w:val="28"/>
              </w:rPr>
              <w:t>.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Інформація приймається до 1</w:t>
            </w:r>
            <w:r w:rsidR="000E277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год. </w:t>
            </w:r>
            <w:r w:rsidR="000E277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хв. </w:t>
            </w:r>
            <w:r w:rsidR="000E2770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</w:t>
            </w:r>
            <w:r w:rsidR="000E2770">
              <w:rPr>
                <w:sz w:val="28"/>
                <w:szCs w:val="28"/>
              </w:rPr>
              <w:t>верес</w:t>
            </w:r>
            <w:r w:rsidR="002D0AA7">
              <w:rPr>
                <w:sz w:val="28"/>
                <w:szCs w:val="28"/>
              </w:rPr>
              <w:t>ня</w:t>
            </w:r>
            <w:r>
              <w:rPr>
                <w:sz w:val="28"/>
                <w:szCs w:val="28"/>
              </w:rPr>
              <w:t xml:space="preserve"> 2021 року.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тестування.</w:t>
            </w:r>
          </w:p>
          <w:p w:rsidR="007E78BB" w:rsidRDefault="007E78BB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7E78BB" w:rsidRDefault="007E78BB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7E78BB" w:rsidRDefault="00AE0F79" w:rsidP="000E3061">
            <w:pPr>
              <w:widowControl/>
              <w:spacing w:before="280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0E2770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15</w:t>
            </w:r>
            <w:r w:rsidR="00AE0F79">
              <w:rPr>
                <w:sz w:val="28"/>
                <w:szCs w:val="28"/>
                <w:highlight w:val="white"/>
              </w:rPr>
              <w:t xml:space="preserve"> </w:t>
            </w:r>
            <w:r w:rsidR="002D0AA7">
              <w:rPr>
                <w:sz w:val="28"/>
                <w:szCs w:val="28"/>
                <w:highlight w:val="white"/>
              </w:rPr>
              <w:t>вересня</w:t>
            </w:r>
            <w:r w:rsidR="00AE0F79">
              <w:rPr>
                <w:sz w:val="28"/>
                <w:szCs w:val="28"/>
                <w:highlight w:val="white"/>
              </w:rPr>
              <w:t xml:space="preserve"> 2021 року з 10 год. 00 хв. до 15 год. 00 хв.</w:t>
            </w:r>
          </w:p>
          <w:p w:rsidR="007E78BB" w:rsidRDefault="007E78BB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>
              <w:rPr>
                <w:sz w:val="28"/>
                <w:szCs w:val="28"/>
                <w:highlight w:val="white"/>
              </w:rPr>
              <w:t>Cisco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Webex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додатково).</w:t>
            </w:r>
          </w:p>
          <w:p w:rsidR="007E78BB" w:rsidRDefault="007E78BB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7E78BB" w:rsidRDefault="007E78BB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7E78BB" w:rsidRDefault="00B7240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B72402">
              <w:rPr>
                <w:color w:val="auto"/>
                <w:position w:val="0"/>
                <w:sz w:val="28"/>
                <w:shd w:val="clear" w:color="auto" w:fill="FFFFFF"/>
              </w:rPr>
              <w:t>м. Київ, вул. Грушевського, 12/2</w:t>
            </w:r>
            <w:r>
              <w:rPr>
                <w:sz w:val="28"/>
                <w:szCs w:val="28"/>
              </w:rPr>
              <w:t xml:space="preserve"> </w:t>
            </w:r>
            <w:r w:rsidR="00AE0F79">
              <w:rPr>
                <w:sz w:val="28"/>
                <w:szCs w:val="28"/>
              </w:rPr>
              <w:t xml:space="preserve">(про час та дату </w:t>
            </w:r>
            <w:r w:rsidR="00AE0F79">
              <w:rPr>
                <w:sz w:val="28"/>
                <w:szCs w:val="28"/>
                <w:highlight w:val="white"/>
              </w:rPr>
              <w:t xml:space="preserve">проведення співбесіди </w:t>
            </w:r>
            <w:r w:rsidR="00AE0F79">
              <w:rPr>
                <w:sz w:val="28"/>
                <w:szCs w:val="28"/>
              </w:rPr>
              <w:t>кандидатів буде повідомлено додатково)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Прізвище, ім’я та по батькові, номер телефону та адреса електронної пошти </w:t>
            </w:r>
            <w:r>
              <w:rPr>
                <w:sz w:val="28"/>
                <w:szCs w:val="28"/>
              </w:rPr>
              <w:lastRenderedPageBreak/>
              <w:t>особи, яка надає додаткову інформацію з питань проведення конкурсу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Леваднюк</w:t>
            </w:r>
            <w:proofErr w:type="spellEnd"/>
            <w:r>
              <w:rPr>
                <w:sz w:val="28"/>
                <w:szCs w:val="28"/>
              </w:rPr>
              <w:t xml:space="preserve"> Ірина Василівна, (044) 200-47-52, ilevadnyuk@me.gov.ua;</w:t>
            </w:r>
          </w:p>
          <w:p w:rsidR="007E78BB" w:rsidRPr="000E3061" w:rsidRDefault="00AE0F79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0E3061">
              <w:rPr>
                <w:color w:val="auto"/>
                <w:sz w:val="28"/>
                <w:szCs w:val="28"/>
              </w:rPr>
              <w:t>Кашуба Наталія Анатоліївна, (</w:t>
            </w:r>
            <w:r w:rsidR="000E3061">
              <w:rPr>
                <w:color w:val="auto"/>
                <w:sz w:val="28"/>
                <w:szCs w:val="28"/>
              </w:rPr>
              <w:t>0</w:t>
            </w:r>
            <w:r w:rsidR="00E826E3" w:rsidRPr="000E3061">
              <w:rPr>
                <w:color w:val="auto"/>
                <w:sz w:val="28"/>
                <w:szCs w:val="28"/>
              </w:rPr>
              <w:t>44</w:t>
            </w:r>
            <w:r w:rsidRPr="000E3061">
              <w:rPr>
                <w:color w:val="auto"/>
                <w:sz w:val="28"/>
                <w:szCs w:val="28"/>
              </w:rPr>
              <w:t xml:space="preserve">) </w:t>
            </w:r>
            <w:r w:rsidR="00E826E3" w:rsidRPr="000E3061">
              <w:rPr>
                <w:color w:val="auto"/>
                <w:sz w:val="28"/>
                <w:szCs w:val="28"/>
              </w:rPr>
              <w:t>200</w:t>
            </w:r>
            <w:r w:rsidRPr="000E3061">
              <w:rPr>
                <w:color w:val="auto"/>
                <w:sz w:val="28"/>
                <w:szCs w:val="28"/>
              </w:rPr>
              <w:t>-</w:t>
            </w:r>
            <w:r w:rsidR="00E826E3" w:rsidRPr="000E3061">
              <w:rPr>
                <w:color w:val="auto"/>
                <w:sz w:val="28"/>
                <w:szCs w:val="28"/>
              </w:rPr>
              <w:t>47</w:t>
            </w:r>
            <w:r w:rsidRPr="000E3061">
              <w:rPr>
                <w:color w:val="auto"/>
                <w:sz w:val="28"/>
                <w:szCs w:val="28"/>
              </w:rPr>
              <w:t>-5</w:t>
            </w:r>
            <w:r w:rsidR="00E826E3" w:rsidRPr="000E3061">
              <w:rPr>
                <w:color w:val="auto"/>
                <w:sz w:val="28"/>
                <w:szCs w:val="28"/>
              </w:rPr>
              <w:t>2</w:t>
            </w:r>
            <w:r w:rsidRPr="000E3061">
              <w:rPr>
                <w:color w:val="auto"/>
                <w:sz w:val="28"/>
                <w:szCs w:val="28"/>
              </w:rPr>
              <w:t>, nkashuba@me.gov.ua</w:t>
            </w:r>
          </w:p>
          <w:p w:rsidR="007E78BB" w:rsidRDefault="007E78BB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7E78BB">
        <w:tc>
          <w:tcPr>
            <w:tcW w:w="15323" w:type="dxa"/>
            <w:gridSpan w:val="3"/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Кваліфікаційні вимоги</w:t>
            </w:r>
          </w:p>
        </w:tc>
      </w:tr>
      <w:tr w:rsidR="007E78BB" w:rsidTr="00A2730F">
        <w:trPr>
          <w:trHeight w:val="19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вищої освіти не нижче магістра</w:t>
            </w:r>
          </w:p>
        </w:tc>
      </w:tr>
      <w:tr w:rsidR="007E78BB" w:rsidTr="00A2730F">
        <w:trPr>
          <w:trHeight w:val="126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right="26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досвід роботи на посадах державної служби </w:t>
            </w:r>
            <w:hyperlink r:id="rId6" w:anchor="n86">
              <w:r>
                <w:rPr>
                  <w:sz w:val="28"/>
                  <w:szCs w:val="28"/>
                  <w:u w:val="single"/>
                </w:rPr>
                <w:t>категорій “Б</w:t>
              </w:r>
            </w:hyperlink>
            <w:r>
              <w:rPr>
                <w:sz w:val="28"/>
                <w:szCs w:val="28"/>
                <w:u w:val="single"/>
              </w:rPr>
              <w:t>”</w:t>
            </w:r>
            <w:r>
              <w:rPr>
                <w:sz w:val="28"/>
                <w:szCs w:val="28"/>
              </w:rPr>
              <w:t xml:space="preserve"> чи </w:t>
            </w:r>
            <w:hyperlink r:id="rId7" w:anchor="n92">
              <w:r>
                <w:rPr>
                  <w:sz w:val="28"/>
                  <w:szCs w:val="28"/>
                  <w:u w:val="single"/>
                </w:rPr>
                <w:t>“В</w:t>
              </w:r>
            </w:hyperlink>
            <w:r>
              <w:rPr>
                <w:sz w:val="28"/>
                <w:szCs w:val="28"/>
              </w:rPr>
              <w:t>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        двох років</w:t>
            </w:r>
          </w:p>
        </w:tc>
      </w:tr>
      <w:tr w:rsidR="007E78B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7E78BB">
        <w:tc>
          <w:tcPr>
            <w:tcW w:w="15323" w:type="dxa"/>
            <w:gridSpan w:val="3"/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7E78BB">
        <w:trPr>
          <w:trHeight w:val="242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7E78BB">
        <w:trPr>
          <w:trHeight w:val="1110"/>
        </w:trPr>
        <w:tc>
          <w:tcPr>
            <w:tcW w:w="936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7E78BB" w:rsidRDefault="00AE0F79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Лідерство</w:t>
            </w:r>
          </w:p>
        </w:tc>
        <w:tc>
          <w:tcPr>
            <w:tcW w:w="10205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мотивувати до ефективної професійної діяльності;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делегувати повноваження та управляти результатами діяльності;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здатність до формування ефективної організаційної культури державної служби </w:t>
            </w:r>
          </w:p>
        </w:tc>
      </w:tr>
      <w:tr w:rsidR="007E78BB">
        <w:trPr>
          <w:trHeight w:val="380"/>
        </w:trPr>
        <w:tc>
          <w:tcPr>
            <w:tcW w:w="936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Стратегічне управління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бачення загальної картини та довгострокових цілей;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визначати напрям та формувати відповідні плани розвитку;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рішучість та наполегливість у впровадженні змін;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залучення впливових сторін;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оцінка ефективності на корегування планів</w:t>
            </w:r>
          </w:p>
        </w:tc>
      </w:tr>
      <w:tr w:rsidR="007E78BB">
        <w:trPr>
          <w:trHeight w:val="684"/>
        </w:trPr>
        <w:tc>
          <w:tcPr>
            <w:tcW w:w="936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2" w:type="dxa"/>
          </w:tcPr>
          <w:p w:rsidR="007E78BB" w:rsidRDefault="00AE0F79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10205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приймати вчасні та виважені рішення;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аналіз альтернатив;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автономність та ініціативність щодо пропозицій і рішень</w:t>
            </w:r>
          </w:p>
        </w:tc>
      </w:tr>
      <w:tr w:rsidR="007E78BB">
        <w:tc>
          <w:tcPr>
            <w:tcW w:w="15323" w:type="dxa"/>
            <w:gridSpan w:val="3"/>
            <w:vAlign w:val="center"/>
          </w:tcPr>
          <w:p w:rsidR="007E78BB" w:rsidRDefault="00AE0F79" w:rsidP="00A2730F">
            <w:pPr>
              <w:widowControl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</w:tr>
      <w:tr w:rsidR="007E78BB" w:rsidTr="00A2730F">
        <w:trPr>
          <w:trHeight w:val="189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7E78BB">
        <w:trPr>
          <w:trHeight w:val="999"/>
        </w:trPr>
        <w:tc>
          <w:tcPr>
            <w:tcW w:w="936" w:type="dxa"/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205" w:type="dxa"/>
          </w:tcPr>
          <w:p w:rsidR="007E78BB" w:rsidRDefault="00AE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7E78BB" w:rsidRDefault="00AE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7E78BB" w:rsidRDefault="00AE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службу»;</w:t>
            </w:r>
          </w:p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7E78BB" w:rsidRPr="000E2770">
        <w:trPr>
          <w:trHeight w:val="202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 законодавства у сфері </w:t>
            </w:r>
          </w:p>
        </w:tc>
        <w:tc>
          <w:tcPr>
            <w:tcW w:w="10205" w:type="dxa"/>
          </w:tcPr>
          <w:p w:rsidR="007E78BB" w:rsidRPr="000E2770" w:rsidRDefault="00AE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E2770">
              <w:rPr>
                <w:sz w:val="28"/>
                <w:szCs w:val="28"/>
              </w:rPr>
              <w:t>Знання:</w:t>
            </w:r>
          </w:p>
          <w:p w:rsidR="00763B28" w:rsidRPr="000E2770" w:rsidRDefault="00763B28" w:rsidP="00763B28">
            <w:pPr>
              <w:widowControl/>
              <w:suppressAutoHyphens w:val="0"/>
              <w:spacing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sz w:val="28"/>
                <w:szCs w:val="28"/>
              </w:rPr>
            </w:pPr>
            <w:r w:rsidRPr="000E2770">
              <w:rPr>
                <w:sz w:val="28"/>
                <w:szCs w:val="28"/>
              </w:rPr>
              <w:t>постанови КМУ від 04.07.2017 № 455 «Про утворення Ради з міжнародної торгівлі»;</w:t>
            </w:r>
          </w:p>
          <w:p w:rsidR="00763B28" w:rsidRPr="000E2770" w:rsidRDefault="00763B28" w:rsidP="00763B28">
            <w:pPr>
              <w:widowControl/>
              <w:suppressAutoHyphens w:val="0"/>
              <w:spacing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sz w:val="28"/>
                <w:szCs w:val="28"/>
              </w:rPr>
            </w:pPr>
            <w:r w:rsidRPr="000E2770">
              <w:rPr>
                <w:sz w:val="28"/>
                <w:szCs w:val="28"/>
              </w:rPr>
              <w:t>постанови КМУ від 15.02.2002 № 153 «Про створення єдиної системи залучення, використання та моніторингу міжнародної технічної допомоги»;</w:t>
            </w:r>
          </w:p>
          <w:p w:rsidR="007E78BB" w:rsidRPr="000E2770" w:rsidRDefault="00763B28" w:rsidP="00763B2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0E2770">
              <w:rPr>
                <w:sz w:val="28"/>
                <w:szCs w:val="28"/>
              </w:rPr>
              <w:t>розпорядження КМУ від 27.12.2017 № 1017-р «Про схвалення Експортної стратегії України («дорожньої карти» стратегічного розвитку торгівлі) на 2017-2021 роки»</w:t>
            </w:r>
            <w:bookmarkStart w:id="2" w:name="_GoBack"/>
            <w:bookmarkEnd w:id="2"/>
          </w:p>
        </w:tc>
      </w:tr>
    </w:tbl>
    <w:p w:rsidR="007E78BB" w:rsidRDefault="007E78B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:rsidR="007E78BB" w:rsidRDefault="007E78B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:rsidR="007E78BB" w:rsidRDefault="007E78B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:rsidR="007E78BB" w:rsidRDefault="007E78B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7E78BB" w:rsidRDefault="007E78B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020"/>
        </w:tabs>
        <w:spacing w:line="240" w:lineRule="auto"/>
        <w:ind w:left="1" w:hanging="3"/>
        <w:jc w:val="both"/>
        <w:rPr>
          <w:sz w:val="28"/>
          <w:szCs w:val="28"/>
        </w:rPr>
      </w:pPr>
    </w:p>
    <w:sectPr w:rsidR="007E78BB" w:rsidSect="00131DE8">
      <w:pgSz w:w="16838" w:h="11906" w:orient="landscape"/>
      <w:pgMar w:top="568" w:right="539" w:bottom="568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BB"/>
    <w:rsid w:val="000E2770"/>
    <w:rsid w:val="000E3061"/>
    <w:rsid w:val="00131DE8"/>
    <w:rsid w:val="001D0AA3"/>
    <w:rsid w:val="00210DBD"/>
    <w:rsid w:val="002D0AA7"/>
    <w:rsid w:val="0032702F"/>
    <w:rsid w:val="00337B1E"/>
    <w:rsid w:val="00361CA2"/>
    <w:rsid w:val="004769C1"/>
    <w:rsid w:val="0063387B"/>
    <w:rsid w:val="006D5FCE"/>
    <w:rsid w:val="00763B28"/>
    <w:rsid w:val="007E78BB"/>
    <w:rsid w:val="00880E8E"/>
    <w:rsid w:val="009C5455"/>
    <w:rsid w:val="00A2730F"/>
    <w:rsid w:val="00AE0F79"/>
    <w:rsid w:val="00B104E0"/>
    <w:rsid w:val="00B72402"/>
    <w:rsid w:val="00BF4824"/>
    <w:rsid w:val="00CE3D0C"/>
    <w:rsid w:val="00D25827"/>
    <w:rsid w:val="00E1244F"/>
    <w:rsid w:val="00E71CCC"/>
    <w:rsid w:val="00E826E3"/>
    <w:rsid w:val="00EB7E0A"/>
    <w:rsid w:val="00E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9ACD"/>
  <w15:docId w15:val="{AA07F100-03F5-49C0-8E9B-46C963AA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ind w:firstLine="709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pPr>
      <w:ind w:left="720" w:firstLine="709"/>
      <w:contextualSpacing/>
      <w:jc w:val="both"/>
    </w:pPr>
    <w:rPr>
      <w:sz w:val="28"/>
      <w:szCs w:val="24"/>
      <w:lang w:eastAsia="ru-RU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character" w:customStyle="1" w:styleId="rvts0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val="ru-RU" w:eastAsia="ru-RU"/>
    </w:rPr>
  </w:style>
  <w:style w:type="paragraph" w:customStyle="1" w:styleId="ac">
    <w:name w:val="заголов"/>
    <w:basedOn w:val="a"/>
    <w:pPr>
      <w:suppressAutoHyphens w:val="0"/>
      <w:ind w:firstLine="0"/>
      <w:jc w:val="center"/>
    </w:pPr>
    <w:rPr>
      <w:b/>
      <w:kern w:val="2"/>
      <w:sz w:val="24"/>
      <w:szCs w:val="24"/>
      <w:lang w:eastAsia="ar-SA"/>
    </w:rPr>
  </w:style>
  <w:style w:type="paragraph" w:styleId="ad">
    <w:name w:val="Normal (Web)"/>
    <w:basedOn w:val="a"/>
    <w:qFormat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15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12">
    <w:name w:val="rvps12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23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ind w:firstLine="0"/>
    </w:pPr>
    <w:rPr>
      <w:rFonts w:ascii="Courier New" w:hAnsi="Courier New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val="ru-RU" w:eastAsia="ru-RU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Franklin Gothic Medium" w:hAnsi="Franklin Gothic Medium" w:cs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/>
    <w:pPr>
      <w:spacing w:after="120"/>
      <w:ind w:left="283" w:firstLine="709"/>
      <w:jc w:val="both"/>
    </w:pPr>
    <w:rPr>
      <w:sz w:val="28"/>
      <w:szCs w:val="24"/>
    </w:rPr>
  </w:style>
  <w:style w:type="character" w:customStyle="1" w:styleId="af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0">
    <w:name w:val="Основной текст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shd w:val="clear" w:color="auto" w:fill="FFFFFF"/>
      <w:spacing w:before="660" w:after="24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/>
    <w:pPr>
      <w:spacing w:after="120" w:line="480" w:lineRule="auto"/>
      <w:ind w:firstLine="0"/>
    </w:pPr>
    <w:rPr>
      <w:sz w:val="24"/>
      <w:szCs w:val="24"/>
    </w:rPr>
  </w:style>
  <w:style w:type="character" w:customStyle="1" w:styleId="2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a"/>
    <w:pPr>
      <w:suppressLineNumbers/>
      <w:suppressAutoHyphens w:val="0"/>
      <w:ind w:firstLine="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2">
    <w:name w:val="Body Text Indent 2"/>
    <w:basedOn w:val="a"/>
    <w:qFormat/>
    <w:pPr>
      <w:spacing w:after="120" w:line="480" w:lineRule="auto"/>
      <w:ind w:left="283" w:firstLine="709"/>
      <w:jc w:val="both"/>
    </w:pPr>
    <w:rPr>
      <w:sz w:val="28"/>
      <w:szCs w:val="24"/>
      <w:lang w:eastAsia="ru-RU"/>
    </w:rPr>
  </w:style>
  <w:style w:type="character" w:customStyle="1" w:styleId="23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/>
      <w:sz w:val="24"/>
      <w:szCs w:val="24"/>
    </w:rPr>
  </w:style>
  <w:style w:type="character" w:customStyle="1" w:styleId="af2">
    <w:name w:val="Нижній колонтитул Знак"/>
    <w:rPr>
      <w:rFonts w:ascii="Times New Roman" w:eastAsia="Times New Roman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Шрифт абзацу за промовчанням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customStyle="1" w:styleId="12">
    <w:name w:val="Звичайни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889-19/print14428329513744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889-19/print1442832951374430" TargetMode="External"/><Relationship Id="rId5" Type="http://schemas.openxmlformats.org/officeDocument/2006/relationships/hyperlink" Target="https://ips.ligazakon.net/document/view/kp210237?ed=2021_03_24&amp;an=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/q+xQ/8SMTtV6XYdjHK7SH9wsA==">AMUW2mUcH2ZJ4NFtMaAOnRaqE/pjiLmVALA/bilF91RpljmPb+HG4SFn6KVr9gdpsYMLgHdaMkoEreZ9LCXy3g39RltZvW8iSzXWPm+guKcvTyMcJBvjBuRrBe5JBp5asimgPRL2hICO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5115</Words>
  <Characters>2916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</dc:creator>
  <cp:lastModifiedBy>ЛЕВАДНЮК Ірина Василівна</cp:lastModifiedBy>
  <cp:revision>28</cp:revision>
  <dcterms:created xsi:type="dcterms:W3CDTF">2021-07-12T09:21:00Z</dcterms:created>
  <dcterms:modified xsi:type="dcterms:W3CDTF">2021-09-02T11:08:00Z</dcterms:modified>
</cp:coreProperties>
</file>