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756D" w14:textId="77777777" w:rsidR="006E42BA" w:rsidRPr="00195464" w:rsidRDefault="006E42BA" w:rsidP="0024564A">
      <w:pPr>
        <w:shd w:val="clear" w:color="auto" w:fill="FFFFFF" w:themeFill="background1"/>
        <w:suppressAutoHyphens/>
        <w:spacing w:after="0" w:line="240" w:lineRule="auto"/>
        <w:ind w:right="111"/>
        <w:jc w:val="right"/>
        <w:rPr>
          <w:rFonts w:ascii="Times New Roman" w:eastAsia="Times New Roman" w:hAnsi="Times New Roman" w:cs="Times New Roman"/>
          <w:kern w:val="1"/>
          <w:sz w:val="28"/>
          <w:szCs w:val="28"/>
          <w:lang w:eastAsia="hi-IN" w:bidi="hi-IN"/>
        </w:rPr>
      </w:pPr>
      <w:bookmarkStart w:id="0" w:name="_GoBack"/>
      <w:bookmarkEnd w:id="0"/>
      <w:r w:rsidRPr="00195464">
        <w:rPr>
          <w:rFonts w:ascii="Times New Roman" w:eastAsia="Times New Roman" w:hAnsi="Times New Roman" w:cs="Times New Roman"/>
          <w:kern w:val="1"/>
          <w:sz w:val="28"/>
          <w:szCs w:val="28"/>
          <w:lang w:eastAsia="hi-IN" w:bidi="hi-IN"/>
        </w:rPr>
        <w:t>Додаток</w:t>
      </w:r>
      <w:r w:rsidR="004B6DAC" w:rsidRPr="00195464">
        <w:rPr>
          <w:rFonts w:ascii="Times New Roman" w:eastAsia="Times New Roman" w:hAnsi="Times New Roman" w:cs="Times New Roman"/>
          <w:kern w:val="1"/>
          <w:sz w:val="28"/>
          <w:szCs w:val="28"/>
          <w:lang w:eastAsia="hi-IN" w:bidi="hi-IN"/>
        </w:rPr>
        <w:t xml:space="preserve"> </w:t>
      </w:r>
    </w:p>
    <w:p w14:paraId="6A3320C2" w14:textId="063F5591" w:rsidR="00CD680A" w:rsidRPr="00195464" w:rsidRDefault="00CD680A" w:rsidP="0024564A">
      <w:pPr>
        <w:shd w:val="clear" w:color="auto" w:fill="FFFFFF" w:themeFill="background1"/>
        <w:suppressAutoHyphens/>
        <w:spacing w:after="120" w:line="240" w:lineRule="auto"/>
        <w:ind w:right="113"/>
        <w:jc w:val="center"/>
        <w:rPr>
          <w:rFonts w:ascii="Times New Roman" w:eastAsia="Times New Roman" w:hAnsi="Times New Roman" w:cs="Times New Roman"/>
          <w:b/>
          <w:kern w:val="1"/>
          <w:sz w:val="28"/>
          <w:szCs w:val="28"/>
          <w:lang w:bidi="hi-IN"/>
        </w:rPr>
      </w:pPr>
    </w:p>
    <w:p w14:paraId="2D4CA598" w14:textId="77777777" w:rsidR="00074B8E" w:rsidRPr="00195464" w:rsidRDefault="005F6D10" w:rsidP="002D0E86">
      <w:pPr>
        <w:shd w:val="clear" w:color="auto" w:fill="FFFFFF"/>
        <w:tabs>
          <w:tab w:val="left" w:pos="12758"/>
        </w:tabs>
        <w:suppressAutoHyphens/>
        <w:spacing w:after="0" w:line="240" w:lineRule="auto"/>
        <w:ind w:left="-1134" w:right="113"/>
        <w:jc w:val="center"/>
        <w:rPr>
          <w:rFonts w:ascii="Times New Roman" w:eastAsia="Times New Roman" w:hAnsi="Times New Roman" w:cs="Times New Roman"/>
          <w:b/>
          <w:kern w:val="1"/>
          <w:sz w:val="28"/>
          <w:szCs w:val="28"/>
          <w:lang w:eastAsia="hi-IN" w:bidi="hi-IN"/>
        </w:rPr>
      </w:pPr>
      <w:r w:rsidRPr="00195464">
        <w:rPr>
          <w:rFonts w:ascii="Times New Roman" w:eastAsia="Times New Roman" w:hAnsi="Times New Roman" w:cs="Times New Roman"/>
          <w:b/>
          <w:kern w:val="1"/>
          <w:sz w:val="28"/>
          <w:szCs w:val="28"/>
          <w:lang w:eastAsia="hi-IN" w:bidi="hi-IN"/>
        </w:rPr>
        <w:t xml:space="preserve">Інформація </w:t>
      </w:r>
      <w:r w:rsidR="00074B8E" w:rsidRPr="00195464">
        <w:rPr>
          <w:rFonts w:ascii="Times New Roman" w:eastAsia="Times New Roman" w:hAnsi="Times New Roman" w:cs="Times New Roman"/>
          <w:b/>
          <w:kern w:val="1"/>
          <w:sz w:val="28"/>
          <w:szCs w:val="28"/>
          <w:lang w:eastAsia="hi-IN" w:bidi="hi-IN"/>
        </w:rPr>
        <w:t>про</w:t>
      </w:r>
      <w:r w:rsidRPr="00195464">
        <w:rPr>
          <w:rFonts w:ascii="Times New Roman" w:eastAsia="Times New Roman" w:hAnsi="Times New Roman" w:cs="Times New Roman"/>
          <w:b/>
          <w:kern w:val="1"/>
          <w:sz w:val="28"/>
          <w:szCs w:val="28"/>
          <w:lang w:eastAsia="hi-IN" w:bidi="hi-IN"/>
        </w:rPr>
        <w:t xml:space="preserve"> виконання </w:t>
      </w:r>
    </w:p>
    <w:p w14:paraId="399CBC44" w14:textId="495A6E77" w:rsidR="005F6D10" w:rsidRPr="00195464" w:rsidRDefault="005F6D10" w:rsidP="002D0E86">
      <w:pPr>
        <w:shd w:val="clear" w:color="auto" w:fill="FFFFFF"/>
        <w:tabs>
          <w:tab w:val="left" w:pos="12758"/>
        </w:tabs>
        <w:suppressAutoHyphens/>
        <w:spacing w:after="0" w:line="240" w:lineRule="auto"/>
        <w:ind w:left="-1134" w:right="113"/>
        <w:jc w:val="center"/>
        <w:rPr>
          <w:rFonts w:ascii="Times New Roman" w:eastAsia="Times New Roman" w:hAnsi="Times New Roman" w:cs="Times New Roman"/>
          <w:b/>
          <w:kern w:val="1"/>
          <w:sz w:val="28"/>
          <w:szCs w:val="28"/>
          <w:lang w:bidi="hi-IN"/>
        </w:rPr>
      </w:pPr>
      <w:r w:rsidRPr="00195464">
        <w:rPr>
          <w:rFonts w:ascii="Times New Roman" w:eastAsia="Times New Roman" w:hAnsi="Times New Roman" w:cs="Times New Roman"/>
          <w:b/>
          <w:kern w:val="1"/>
          <w:sz w:val="28"/>
          <w:szCs w:val="28"/>
          <w:lang w:eastAsia="hi-IN" w:bidi="hi-IN"/>
        </w:rPr>
        <w:t>Плану дій щодо підвищення позиції України в рейтингу Світового банку “Ведення бізнесу” (“</w:t>
      </w:r>
      <w:proofErr w:type="spellStart"/>
      <w:r w:rsidRPr="00195464">
        <w:rPr>
          <w:rFonts w:ascii="Times New Roman" w:eastAsia="Times New Roman" w:hAnsi="Times New Roman" w:cs="Times New Roman"/>
          <w:b/>
          <w:kern w:val="1"/>
          <w:sz w:val="28"/>
          <w:szCs w:val="28"/>
          <w:lang w:eastAsia="hi-IN" w:bidi="hi-IN"/>
        </w:rPr>
        <w:t>Doing</w:t>
      </w:r>
      <w:proofErr w:type="spellEnd"/>
      <w:r w:rsidRPr="00195464">
        <w:rPr>
          <w:rFonts w:ascii="Times New Roman" w:eastAsia="Times New Roman" w:hAnsi="Times New Roman" w:cs="Times New Roman"/>
          <w:b/>
          <w:kern w:val="1"/>
          <w:sz w:val="28"/>
          <w:szCs w:val="28"/>
          <w:lang w:eastAsia="hi-IN" w:bidi="hi-IN"/>
        </w:rPr>
        <w:t xml:space="preserve"> </w:t>
      </w:r>
      <w:proofErr w:type="spellStart"/>
      <w:r w:rsidRPr="00195464">
        <w:rPr>
          <w:rFonts w:ascii="Times New Roman" w:eastAsia="Times New Roman" w:hAnsi="Times New Roman" w:cs="Times New Roman"/>
          <w:b/>
          <w:kern w:val="1"/>
          <w:sz w:val="28"/>
          <w:szCs w:val="28"/>
          <w:lang w:eastAsia="hi-IN" w:bidi="hi-IN"/>
        </w:rPr>
        <w:t>Business</w:t>
      </w:r>
      <w:proofErr w:type="spellEnd"/>
      <w:r w:rsidRPr="00195464">
        <w:rPr>
          <w:rFonts w:ascii="Times New Roman" w:eastAsia="Times New Roman" w:hAnsi="Times New Roman" w:cs="Times New Roman"/>
          <w:b/>
          <w:kern w:val="1"/>
          <w:sz w:val="28"/>
          <w:szCs w:val="28"/>
          <w:lang w:eastAsia="hi-IN" w:bidi="hi-IN"/>
        </w:rPr>
        <w:t xml:space="preserve">”), затвердженого </w:t>
      </w:r>
      <w:r w:rsidRPr="00195464">
        <w:rPr>
          <w:rFonts w:ascii="Times New Roman" w:eastAsia="Times New Roman" w:hAnsi="Times New Roman" w:cs="Times New Roman"/>
          <w:b/>
          <w:kern w:val="1"/>
          <w:sz w:val="28"/>
          <w:szCs w:val="28"/>
          <w:lang w:bidi="hi-IN"/>
        </w:rPr>
        <w:t xml:space="preserve">розпорядженням Кабінету Міністрів України від 04.12.2019 №1413 </w:t>
      </w:r>
    </w:p>
    <w:p w14:paraId="4CEF3C51" w14:textId="70518D76" w:rsidR="005F6D10" w:rsidRPr="00195464" w:rsidRDefault="005F6D10" w:rsidP="002D0E86">
      <w:pPr>
        <w:shd w:val="clear" w:color="auto" w:fill="FFFFFF"/>
        <w:suppressAutoHyphens/>
        <w:spacing w:after="240" w:line="240" w:lineRule="auto"/>
        <w:ind w:left="-1134" w:right="113"/>
        <w:jc w:val="center"/>
        <w:rPr>
          <w:rFonts w:ascii="Times New Roman" w:eastAsia="Times New Roman" w:hAnsi="Times New Roman" w:cs="Times New Roman"/>
          <w:b/>
          <w:kern w:val="1"/>
          <w:sz w:val="28"/>
          <w:szCs w:val="28"/>
          <w:lang w:bidi="hi-IN"/>
        </w:rPr>
      </w:pPr>
      <w:r w:rsidRPr="00195464">
        <w:rPr>
          <w:rFonts w:ascii="Times New Roman" w:eastAsia="Times New Roman" w:hAnsi="Times New Roman" w:cs="Times New Roman"/>
          <w:b/>
          <w:kern w:val="1"/>
          <w:sz w:val="28"/>
          <w:szCs w:val="28"/>
          <w:lang w:bidi="hi-IN"/>
        </w:rPr>
        <w:t>(</w:t>
      </w:r>
      <w:r w:rsidR="008D7053" w:rsidRPr="00195464">
        <w:rPr>
          <w:rFonts w:ascii="Times New Roman" w:eastAsia="Times New Roman" w:hAnsi="Times New Roman" w:cs="Times New Roman"/>
          <w:b/>
          <w:kern w:val="1"/>
          <w:sz w:val="28"/>
          <w:szCs w:val="28"/>
          <w:lang w:bidi="hi-IN"/>
        </w:rPr>
        <w:t>за результатами 2020 року</w:t>
      </w:r>
      <w:r w:rsidRPr="00195464">
        <w:rPr>
          <w:rFonts w:ascii="Times New Roman" w:eastAsia="Times New Roman" w:hAnsi="Times New Roman" w:cs="Times New Roman"/>
          <w:b/>
          <w:kern w:val="1"/>
          <w:sz w:val="28"/>
          <w:szCs w:val="28"/>
          <w:lang w:bidi="hi-IN"/>
        </w:rPr>
        <w:t>)</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2835"/>
        <w:gridCol w:w="1984"/>
        <w:gridCol w:w="1560"/>
        <w:gridCol w:w="5528"/>
      </w:tblGrid>
      <w:tr w:rsidR="005F6D10" w:rsidRPr="00195464" w14:paraId="662B5FCD" w14:textId="77777777" w:rsidTr="005F6D10">
        <w:tc>
          <w:tcPr>
            <w:tcW w:w="993" w:type="dxa"/>
            <w:shd w:val="clear" w:color="auto" w:fill="auto"/>
          </w:tcPr>
          <w:p w14:paraId="10E9D16F" w14:textId="77777777" w:rsidR="005F6D10" w:rsidRPr="00195464" w:rsidRDefault="005F6D10" w:rsidP="005F6D10">
            <w:pPr>
              <w:shd w:val="clear" w:color="auto" w:fill="FFFFFF"/>
              <w:suppressAutoHyphens/>
              <w:spacing w:after="0" w:line="240" w:lineRule="auto"/>
              <w:ind w:left="-82"/>
              <w:jc w:val="center"/>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 пункту плану дій</w:t>
            </w:r>
          </w:p>
        </w:tc>
        <w:tc>
          <w:tcPr>
            <w:tcW w:w="2835" w:type="dxa"/>
            <w:shd w:val="clear" w:color="auto" w:fill="auto"/>
          </w:tcPr>
          <w:p w14:paraId="75145947"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kern w:val="1"/>
                <w:sz w:val="26"/>
                <w:szCs w:val="26"/>
                <w:lang w:eastAsia="hi-IN" w:bidi="hi-IN"/>
              </w:rPr>
            </w:pPr>
            <w:r w:rsidRPr="00195464">
              <w:rPr>
                <w:rFonts w:ascii="Times New Roman" w:eastAsia="Times New Roman" w:hAnsi="Times New Roman" w:cs="Times New Roman"/>
                <w:b/>
                <w:kern w:val="1"/>
                <w:sz w:val="26"/>
                <w:szCs w:val="26"/>
                <w:lang w:eastAsia="ru-RU" w:bidi="hi-IN"/>
              </w:rPr>
              <w:t>Зміст завдання</w:t>
            </w:r>
          </w:p>
        </w:tc>
        <w:tc>
          <w:tcPr>
            <w:tcW w:w="2835" w:type="dxa"/>
            <w:shd w:val="clear" w:color="auto" w:fill="auto"/>
          </w:tcPr>
          <w:p w14:paraId="28B1DD59"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kern w:val="1"/>
                <w:sz w:val="26"/>
                <w:szCs w:val="26"/>
                <w:lang w:eastAsia="hi-IN" w:bidi="hi-IN"/>
              </w:rPr>
            </w:pPr>
            <w:r w:rsidRPr="00195464">
              <w:rPr>
                <w:rFonts w:ascii="Times New Roman" w:eastAsia="Times New Roman" w:hAnsi="Times New Roman" w:cs="Times New Roman"/>
                <w:b/>
                <w:kern w:val="1"/>
                <w:sz w:val="26"/>
                <w:szCs w:val="26"/>
                <w:lang w:eastAsia="ru-RU" w:bidi="hi-IN"/>
              </w:rPr>
              <w:t>Найменування заходу</w:t>
            </w:r>
          </w:p>
        </w:tc>
        <w:tc>
          <w:tcPr>
            <w:tcW w:w="1984" w:type="dxa"/>
            <w:shd w:val="clear" w:color="auto" w:fill="auto"/>
          </w:tcPr>
          <w:p w14:paraId="4A85702E"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kern w:val="1"/>
                <w:sz w:val="26"/>
                <w:szCs w:val="26"/>
                <w:lang w:eastAsia="hi-IN" w:bidi="hi-IN"/>
              </w:rPr>
            </w:pPr>
            <w:proofErr w:type="spellStart"/>
            <w:r w:rsidRPr="00195464">
              <w:rPr>
                <w:rFonts w:ascii="Times New Roman" w:eastAsia="Times New Roman" w:hAnsi="Times New Roman" w:cs="Times New Roman"/>
                <w:b/>
                <w:kern w:val="1"/>
                <w:sz w:val="26"/>
                <w:szCs w:val="26"/>
                <w:lang w:eastAsia="hi-IN" w:bidi="hi-IN"/>
              </w:rPr>
              <w:t>Відповідаль</w:t>
            </w:r>
            <w:proofErr w:type="spellEnd"/>
            <w:r w:rsidRPr="00195464">
              <w:rPr>
                <w:rFonts w:ascii="Times New Roman" w:eastAsia="Times New Roman" w:hAnsi="Times New Roman" w:cs="Times New Roman"/>
                <w:b/>
                <w:kern w:val="1"/>
                <w:sz w:val="26"/>
                <w:szCs w:val="26"/>
                <w:lang w:eastAsia="hi-IN" w:bidi="hi-IN"/>
              </w:rPr>
              <w:t>-ний виконавець</w:t>
            </w:r>
          </w:p>
        </w:tc>
        <w:tc>
          <w:tcPr>
            <w:tcW w:w="1560" w:type="dxa"/>
            <w:shd w:val="clear" w:color="auto" w:fill="FFFFFF"/>
          </w:tcPr>
          <w:p w14:paraId="7C2D6E2C"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Строк виконання</w:t>
            </w:r>
          </w:p>
        </w:tc>
        <w:tc>
          <w:tcPr>
            <w:tcW w:w="5528" w:type="dxa"/>
            <w:shd w:val="clear" w:color="auto" w:fill="FFFFFF"/>
          </w:tcPr>
          <w:p w14:paraId="75E8898A"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Стан виконання</w:t>
            </w:r>
          </w:p>
          <w:p w14:paraId="74F16133"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kern w:val="1"/>
                <w:sz w:val="26"/>
                <w:szCs w:val="26"/>
                <w:lang w:eastAsia="ru-RU" w:bidi="hi-IN"/>
              </w:rPr>
            </w:pPr>
          </w:p>
          <w:p w14:paraId="6B2ADB49"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kern w:val="1"/>
                <w:sz w:val="26"/>
                <w:szCs w:val="26"/>
                <w:lang w:eastAsia="ru-RU" w:bidi="hi-IN"/>
              </w:rPr>
            </w:pPr>
          </w:p>
        </w:tc>
      </w:tr>
      <w:tr w:rsidR="005F6D10" w:rsidRPr="00195464" w14:paraId="386ABD7F" w14:textId="77777777" w:rsidTr="005F6D10">
        <w:tc>
          <w:tcPr>
            <w:tcW w:w="993" w:type="dxa"/>
            <w:shd w:val="clear" w:color="auto" w:fill="auto"/>
          </w:tcPr>
          <w:p w14:paraId="2907250C"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bCs/>
                <w:kern w:val="1"/>
                <w:sz w:val="26"/>
                <w:szCs w:val="26"/>
                <w:lang w:eastAsia="hi-IN" w:bidi="hi-IN"/>
              </w:rPr>
            </w:pPr>
            <w:r w:rsidRPr="00195464">
              <w:rPr>
                <w:rFonts w:ascii="Times New Roman" w:eastAsia="Times New Roman" w:hAnsi="Times New Roman" w:cs="Times New Roman"/>
                <w:b/>
                <w:bCs/>
                <w:kern w:val="1"/>
                <w:sz w:val="26"/>
                <w:szCs w:val="26"/>
                <w:lang w:eastAsia="hi-IN" w:bidi="hi-IN"/>
              </w:rPr>
              <w:t>1</w:t>
            </w:r>
          </w:p>
        </w:tc>
        <w:tc>
          <w:tcPr>
            <w:tcW w:w="2835" w:type="dxa"/>
            <w:shd w:val="clear" w:color="auto" w:fill="auto"/>
          </w:tcPr>
          <w:p w14:paraId="12251494"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bCs/>
                <w:kern w:val="1"/>
                <w:sz w:val="26"/>
                <w:szCs w:val="26"/>
                <w:lang w:eastAsia="hi-IN" w:bidi="hi-IN"/>
              </w:rPr>
            </w:pPr>
            <w:r w:rsidRPr="00195464">
              <w:rPr>
                <w:rFonts w:ascii="Times New Roman" w:eastAsia="Times New Roman" w:hAnsi="Times New Roman" w:cs="Times New Roman"/>
                <w:b/>
                <w:bCs/>
                <w:kern w:val="1"/>
                <w:sz w:val="26"/>
                <w:szCs w:val="26"/>
                <w:lang w:eastAsia="hi-IN" w:bidi="hi-IN"/>
              </w:rPr>
              <w:t>2</w:t>
            </w:r>
          </w:p>
        </w:tc>
        <w:tc>
          <w:tcPr>
            <w:tcW w:w="2835" w:type="dxa"/>
            <w:shd w:val="clear" w:color="auto" w:fill="auto"/>
          </w:tcPr>
          <w:p w14:paraId="339335BA"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bCs/>
                <w:kern w:val="1"/>
                <w:sz w:val="26"/>
                <w:szCs w:val="26"/>
                <w:lang w:eastAsia="hi-IN" w:bidi="hi-IN"/>
              </w:rPr>
            </w:pPr>
            <w:r w:rsidRPr="00195464">
              <w:rPr>
                <w:rFonts w:ascii="Times New Roman" w:eastAsia="Times New Roman" w:hAnsi="Times New Roman" w:cs="Times New Roman"/>
                <w:b/>
                <w:bCs/>
                <w:kern w:val="1"/>
                <w:sz w:val="26"/>
                <w:szCs w:val="26"/>
                <w:lang w:eastAsia="hi-IN" w:bidi="hi-IN"/>
              </w:rPr>
              <w:t>3</w:t>
            </w:r>
          </w:p>
        </w:tc>
        <w:tc>
          <w:tcPr>
            <w:tcW w:w="1984" w:type="dxa"/>
            <w:shd w:val="clear" w:color="auto" w:fill="auto"/>
          </w:tcPr>
          <w:p w14:paraId="3180F0BF"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bCs/>
                <w:kern w:val="1"/>
                <w:sz w:val="26"/>
                <w:szCs w:val="26"/>
                <w:lang w:eastAsia="hi-IN" w:bidi="hi-IN"/>
              </w:rPr>
            </w:pPr>
            <w:r w:rsidRPr="00195464">
              <w:rPr>
                <w:rFonts w:ascii="Times New Roman" w:eastAsia="Times New Roman" w:hAnsi="Times New Roman" w:cs="Times New Roman"/>
                <w:b/>
                <w:bCs/>
                <w:kern w:val="1"/>
                <w:sz w:val="26"/>
                <w:szCs w:val="26"/>
                <w:lang w:eastAsia="hi-IN" w:bidi="hi-IN"/>
              </w:rPr>
              <w:t>4</w:t>
            </w:r>
          </w:p>
        </w:tc>
        <w:tc>
          <w:tcPr>
            <w:tcW w:w="1560" w:type="dxa"/>
            <w:shd w:val="clear" w:color="auto" w:fill="FFFFFF"/>
          </w:tcPr>
          <w:p w14:paraId="3AA09080"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bCs/>
                <w:kern w:val="1"/>
                <w:sz w:val="26"/>
                <w:szCs w:val="26"/>
                <w:lang w:eastAsia="hi-IN" w:bidi="hi-IN"/>
              </w:rPr>
            </w:pPr>
            <w:r w:rsidRPr="00195464">
              <w:rPr>
                <w:rFonts w:ascii="Times New Roman" w:eastAsia="Times New Roman" w:hAnsi="Times New Roman" w:cs="Times New Roman"/>
                <w:b/>
                <w:bCs/>
                <w:kern w:val="1"/>
                <w:sz w:val="26"/>
                <w:szCs w:val="26"/>
                <w:lang w:eastAsia="hi-IN" w:bidi="hi-IN"/>
              </w:rPr>
              <w:t>5</w:t>
            </w:r>
          </w:p>
        </w:tc>
        <w:tc>
          <w:tcPr>
            <w:tcW w:w="5528" w:type="dxa"/>
            <w:shd w:val="clear" w:color="auto" w:fill="FFFFFF"/>
          </w:tcPr>
          <w:p w14:paraId="3CD4526C"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bCs/>
                <w:kern w:val="1"/>
                <w:sz w:val="26"/>
                <w:szCs w:val="26"/>
                <w:lang w:eastAsia="hi-IN" w:bidi="hi-IN"/>
              </w:rPr>
            </w:pPr>
            <w:r w:rsidRPr="00195464">
              <w:rPr>
                <w:rFonts w:ascii="Times New Roman" w:eastAsia="Times New Roman" w:hAnsi="Times New Roman" w:cs="Times New Roman"/>
                <w:b/>
                <w:bCs/>
                <w:kern w:val="1"/>
                <w:sz w:val="26"/>
                <w:szCs w:val="26"/>
                <w:lang w:eastAsia="ru-RU" w:bidi="hi-IN"/>
              </w:rPr>
              <w:t>6</w:t>
            </w:r>
          </w:p>
        </w:tc>
      </w:tr>
      <w:tr w:rsidR="005F6D10" w:rsidRPr="00195464" w14:paraId="4A7F2D48" w14:textId="77777777" w:rsidTr="005F6D10">
        <w:tc>
          <w:tcPr>
            <w:tcW w:w="15735" w:type="dxa"/>
            <w:gridSpan w:val="6"/>
            <w:shd w:val="clear" w:color="auto" w:fill="auto"/>
          </w:tcPr>
          <w:p w14:paraId="71F476D1"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Реєстрація підприємств</w:t>
            </w:r>
          </w:p>
        </w:tc>
      </w:tr>
      <w:tr w:rsidR="005F6D10" w:rsidRPr="00195464" w14:paraId="5BB3F885" w14:textId="77777777" w:rsidTr="005F6D10">
        <w:tc>
          <w:tcPr>
            <w:tcW w:w="993" w:type="dxa"/>
            <w:shd w:val="clear" w:color="auto" w:fill="auto"/>
          </w:tcPr>
          <w:p w14:paraId="0BF8F8A7"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bookmarkStart w:id="1" w:name="_Hlk61986467"/>
            <w:r w:rsidRPr="00195464">
              <w:rPr>
                <w:rFonts w:ascii="Times New Roman" w:eastAsia="Times New Roman" w:hAnsi="Times New Roman" w:cs="Times New Roman"/>
                <w:kern w:val="1"/>
                <w:sz w:val="26"/>
                <w:szCs w:val="26"/>
                <w:lang w:eastAsia="hi-IN" w:bidi="hi-IN"/>
              </w:rPr>
              <w:t>1.</w:t>
            </w:r>
          </w:p>
        </w:tc>
        <w:tc>
          <w:tcPr>
            <w:tcW w:w="2835" w:type="dxa"/>
            <w:shd w:val="clear" w:color="auto" w:fill="auto"/>
          </w:tcPr>
          <w:p w14:paraId="6967DBCF"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Визначення механізму, згідно з яким під час державної реєстрації юридичної особи, фізичної особи — підприємця буде можливо одночасно здійснити реєстрацію такої особи як платника податку на додану вартість та платника податку за спрощеною системою оподаткування</w:t>
            </w:r>
          </w:p>
        </w:tc>
        <w:tc>
          <w:tcPr>
            <w:tcW w:w="2835" w:type="dxa"/>
            <w:shd w:val="clear" w:color="auto" w:fill="auto"/>
          </w:tcPr>
          <w:p w14:paraId="5068766E"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розроблення та подання на розгляд Кабінету Міністрів України законопроекту про внесення змін до Податкового кодексу України, які дадуть змогу реалізувати норми, передбачені Законом України “Про державну реєстрацію юридичних осіб, фізичних осіб — підприємців та громадських формувань”, а саме здійснити реєстрацію платника податку на підставі відомостей, </w:t>
            </w:r>
            <w:r w:rsidRPr="00195464">
              <w:rPr>
                <w:rFonts w:ascii="Times New Roman" w:eastAsia="Calibri" w:hAnsi="Times New Roman" w:cs="Times New Roman"/>
                <w:sz w:val="26"/>
                <w:szCs w:val="26"/>
              </w:rPr>
              <w:lastRenderedPageBreak/>
              <w:t>зазначених у заяві про державну реєстрацію</w:t>
            </w:r>
          </w:p>
        </w:tc>
        <w:tc>
          <w:tcPr>
            <w:tcW w:w="1984" w:type="dxa"/>
            <w:shd w:val="clear" w:color="auto" w:fill="auto"/>
          </w:tcPr>
          <w:p w14:paraId="529438D2"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lastRenderedPageBreak/>
              <w:t>Мінфін</w:t>
            </w:r>
          </w:p>
        </w:tc>
        <w:tc>
          <w:tcPr>
            <w:tcW w:w="1560" w:type="dxa"/>
            <w:shd w:val="clear" w:color="auto" w:fill="FFFFFF"/>
          </w:tcPr>
          <w:p w14:paraId="1B54A87B"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III квартал 2020 р.</w:t>
            </w:r>
          </w:p>
        </w:tc>
        <w:tc>
          <w:tcPr>
            <w:tcW w:w="5528" w:type="dxa"/>
            <w:shd w:val="clear" w:color="auto" w:fill="auto"/>
          </w:tcPr>
          <w:p w14:paraId="19D04882" w14:textId="77777777" w:rsidR="005F6D10" w:rsidRPr="00195464" w:rsidRDefault="005F6D10" w:rsidP="005F6D10">
            <w:pPr>
              <w:shd w:val="clear" w:color="auto" w:fill="FFFFFF"/>
              <w:tabs>
                <w:tab w:val="left" w:pos="391"/>
                <w:tab w:val="left" w:pos="3726"/>
              </w:tabs>
              <w:suppressAutoHyphens/>
              <w:spacing w:after="0" w:line="240" w:lineRule="auto"/>
              <w:ind w:right="43" w:firstLine="170"/>
              <w:jc w:val="both"/>
              <w:rPr>
                <w:rFonts w:ascii="Times New Roman" w:eastAsia="Times New Roman" w:hAnsi="Times New Roman" w:cs="Times New Roman"/>
                <w:b/>
                <w:bCs/>
                <w:kern w:val="1"/>
                <w:sz w:val="26"/>
                <w:szCs w:val="26"/>
                <w:lang w:eastAsia="ru-RU" w:bidi="hi-IN"/>
              </w:rPr>
            </w:pPr>
            <w:r w:rsidRPr="00195464">
              <w:rPr>
                <w:rFonts w:ascii="Times New Roman" w:eastAsia="Times New Roman" w:hAnsi="Times New Roman" w:cs="Times New Roman"/>
                <w:b/>
                <w:bCs/>
                <w:kern w:val="1"/>
                <w:sz w:val="26"/>
                <w:szCs w:val="26"/>
                <w:lang w:eastAsia="ru-RU" w:bidi="hi-IN"/>
              </w:rPr>
              <w:t>Виконано.</w:t>
            </w:r>
          </w:p>
          <w:p w14:paraId="667A6430" w14:textId="4B0A710F" w:rsidR="005F6D10" w:rsidRPr="00195464" w:rsidRDefault="005F6D10" w:rsidP="005F6D10">
            <w:pPr>
              <w:shd w:val="clear" w:color="auto" w:fill="FFFFFF"/>
              <w:tabs>
                <w:tab w:val="left" w:pos="391"/>
                <w:tab w:val="left" w:pos="3726"/>
              </w:tabs>
              <w:suppressAutoHyphens/>
              <w:spacing w:after="0" w:line="240" w:lineRule="auto"/>
              <w:ind w:right="43" w:firstLine="170"/>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b/>
                <w:bCs/>
                <w:kern w:val="1"/>
                <w:sz w:val="26"/>
                <w:szCs w:val="26"/>
                <w:lang w:eastAsia="ru-RU" w:bidi="hi-IN"/>
              </w:rPr>
              <w:t xml:space="preserve">23.05.2020 набрав чинності Закон України №466-IX від 16.01.2020 “Про внесення змін до Податкового кодексу України щодо вдосконалення адміністрування податків, усунення технічних та логічних </w:t>
            </w:r>
            <w:proofErr w:type="spellStart"/>
            <w:r w:rsidRPr="00195464">
              <w:rPr>
                <w:rFonts w:ascii="Times New Roman" w:eastAsia="Times New Roman" w:hAnsi="Times New Roman" w:cs="Times New Roman"/>
                <w:b/>
                <w:bCs/>
                <w:kern w:val="1"/>
                <w:sz w:val="26"/>
                <w:szCs w:val="26"/>
                <w:lang w:eastAsia="ru-RU" w:bidi="hi-IN"/>
              </w:rPr>
              <w:t>неузгодженостей</w:t>
            </w:r>
            <w:proofErr w:type="spellEnd"/>
            <w:r w:rsidRPr="00195464">
              <w:rPr>
                <w:rFonts w:ascii="Times New Roman" w:eastAsia="Times New Roman" w:hAnsi="Times New Roman" w:cs="Times New Roman"/>
                <w:b/>
                <w:bCs/>
                <w:kern w:val="1"/>
                <w:sz w:val="26"/>
                <w:szCs w:val="26"/>
                <w:lang w:eastAsia="ru-RU" w:bidi="hi-IN"/>
              </w:rPr>
              <w:t xml:space="preserve"> у податковому законодавстві”</w:t>
            </w:r>
            <w:r w:rsidRPr="00195464">
              <w:rPr>
                <w:rFonts w:ascii="Times New Roman" w:eastAsia="Times New Roman" w:hAnsi="Times New Roman" w:cs="Times New Roman"/>
                <w:kern w:val="1"/>
                <w:sz w:val="26"/>
                <w:szCs w:val="26"/>
                <w:lang w:eastAsia="ru-RU" w:bidi="hi-IN"/>
              </w:rPr>
              <w:t xml:space="preserve"> (далі - Закон № 466), норми якого є симетричними до Закону України № 755-IV від  15.05.2003 “Про державну реєстрацію юридичних осіб, фізичних осіб-підприємців та громадських формувань” (далі - Закон № 755). Відповідно до пункту 183.7 статті 183 розділу V, пункту 298.1 статті 298 Розділу XIV Податкового кодексу України зі змінами, внесеними Законом № 466, суб’єкти господарювання (новостворені) можуть заявити про своє бажання добровільно зареєструватися як платник ПДВ та платник </w:t>
            </w:r>
            <w:r w:rsidRPr="00195464">
              <w:rPr>
                <w:rFonts w:ascii="Times New Roman" w:eastAsia="Times New Roman" w:hAnsi="Times New Roman" w:cs="Times New Roman"/>
                <w:kern w:val="1"/>
                <w:sz w:val="26"/>
                <w:szCs w:val="26"/>
                <w:lang w:eastAsia="ru-RU" w:bidi="hi-IN"/>
              </w:rPr>
              <w:lastRenderedPageBreak/>
              <w:t xml:space="preserve">податку за спрощеною системою оподаткування під час державної реєстрації створення юридичної особи або фізичної особи-підприємця. Відповідна заява або відомості передаються до контролюючих органів у порядку, встановленому Законом № 755. Згідно зі статтею 13 Закону № 755 до ДПС одночасно з відомостями Єдиного державного реєстру про державну реєстрацію створення юридичної особи та державну реєстрацію фізичної особи-підприємця технічним адміністратором Єдиного державного реєстру забезпечується передача відомостей із заяви про державну реєстрацію створення юридичної особи та державну реєстрацію фізичної особи підприємцем про обрання спрощеної системи оподаткування та/або добровільну реєстрацію як платника податку. </w:t>
            </w:r>
          </w:p>
          <w:p w14:paraId="006271CA" w14:textId="77777777" w:rsidR="005F6D10" w:rsidRPr="00195464" w:rsidRDefault="005F6D10" w:rsidP="005F6D10">
            <w:pPr>
              <w:shd w:val="clear" w:color="auto" w:fill="FFFFFF"/>
              <w:tabs>
                <w:tab w:val="left" w:pos="391"/>
                <w:tab w:val="left" w:pos="3726"/>
              </w:tabs>
              <w:suppressAutoHyphens/>
              <w:spacing w:after="0" w:line="240" w:lineRule="auto"/>
              <w:ind w:right="43" w:firstLine="170"/>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Для забезпечення реалізації положень Закону № 755 </w:t>
            </w:r>
            <w:r w:rsidRPr="00195464">
              <w:rPr>
                <w:rFonts w:ascii="Times New Roman" w:eastAsia="Times New Roman" w:hAnsi="Times New Roman" w:cs="Times New Roman"/>
                <w:b/>
                <w:bCs/>
                <w:kern w:val="1"/>
                <w:sz w:val="26"/>
                <w:szCs w:val="26"/>
                <w:lang w:eastAsia="ru-RU" w:bidi="hi-IN"/>
              </w:rPr>
              <w:t>наказом Міністерства юстиції України від  19.05.2020 № 1716/5</w:t>
            </w:r>
            <w:r w:rsidRPr="00195464">
              <w:rPr>
                <w:rFonts w:ascii="Times New Roman" w:eastAsia="Times New Roman" w:hAnsi="Times New Roman" w:cs="Times New Roman"/>
                <w:kern w:val="1"/>
                <w:sz w:val="26"/>
                <w:szCs w:val="26"/>
                <w:lang w:eastAsia="ru-RU" w:bidi="hi-IN"/>
              </w:rPr>
              <w:t xml:space="preserve"> (зареєстровано в Міністерстві юстиції України 20.05.2020 за № 454/34737) оновлено форми заяв у сфері державної реєстрації юридичних осіб, фізичних осіб-підприємців та громадських формувань. Це надало можливість новоствореним суб’єктам господарювання зазначати в них (за бажанням) відомості про обрання системи оподаткування для реєстрації платником ПДВ або платником єдиного податку. На сьогодні контролюючі органи за результатами розгляду відомостей із заяв у сфері державної реєстрації, отриманих з Єдиного державного реєстру, за відсутності законодавчих підстав для відмови в реєстрації, здійснюють реєстрацію новоствореної особи платником ПДВ або платником єдиного податку.</w:t>
            </w:r>
          </w:p>
        </w:tc>
      </w:tr>
      <w:bookmarkEnd w:id="1"/>
      <w:tr w:rsidR="005F6D10" w:rsidRPr="00195464" w14:paraId="20EE4C5E" w14:textId="77777777" w:rsidTr="005F6D10">
        <w:tc>
          <w:tcPr>
            <w:tcW w:w="993" w:type="dxa"/>
            <w:shd w:val="clear" w:color="auto" w:fill="auto"/>
          </w:tcPr>
          <w:p w14:paraId="2251F19E"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lastRenderedPageBreak/>
              <w:t>2.</w:t>
            </w:r>
          </w:p>
        </w:tc>
        <w:tc>
          <w:tcPr>
            <w:tcW w:w="2835" w:type="dxa"/>
          </w:tcPr>
          <w:p w14:paraId="3CAF0075"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Зупинення практики вимагання проставляння відбитка печатки та нотаріального засвідчення вірності копії документа у разі, коли така вимога не встановлена законом</w:t>
            </w:r>
          </w:p>
        </w:tc>
        <w:tc>
          <w:tcPr>
            <w:tcW w:w="2835" w:type="dxa"/>
            <w:shd w:val="clear" w:color="auto" w:fill="auto"/>
          </w:tcPr>
          <w:p w14:paraId="20B15BFA"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внесення відповідних змін до нормативно-правових актів центральних органів виконавчої влади</w:t>
            </w:r>
          </w:p>
        </w:tc>
        <w:tc>
          <w:tcPr>
            <w:tcW w:w="1984" w:type="dxa"/>
            <w:shd w:val="clear" w:color="auto" w:fill="auto"/>
          </w:tcPr>
          <w:p w14:paraId="4F2246A2" w14:textId="77777777" w:rsidR="005F6D10" w:rsidRPr="00195464" w:rsidRDefault="005F6D10" w:rsidP="005F6D10">
            <w:pPr>
              <w:shd w:val="clear" w:color="auto" w:fill="FFFFFF"/>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міністерства, інші центральні органи виконавчої влади (відповідно до компетенції)</w:t>
            </w:r>
          </w:p>
        </w:tc>
        <w:tc>
          <w:tcPr>
            <w:tcW w:w="1560" w:type="dxa"/>
            <w:shd w:val="clear" w:color="auto" w:fill="FFFFFF"/>
          </w:tcPr>
          <w:p w14:paraId="70FC9342" w14:textId="77777777" w:rsidR="005F6D10" w:rsidRPr="00195464" w:rsidRDefault="005F6D10" w:rsidP="005F6D10">
            <w:pPr>
              <w:shd w:val="clear" w:color="auto" w:fill="FFFFFF"/>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I квартал 2020 р.</w:t>
            </w:r>
          </w:p>
        </w:tc>
        <w:tc>
          <w:tcPr>
            <w:tcW w:w="5528" w:type="dxa"/>
            <w:shd w:val="clear" w:color="auto" w:fill="FFFFFF"/>
          </w:tcPr>
          <w:p w14:paraId="24AA4616" w14:textId="77777777" w:rsidR="005F6D10" w:rsidRPr="00195464" w:rsidRDefault="005F6D10" w:rsidP="005F6D10">
            <w:pPr>
              <w:shd w:val="clear" w:color="auto" w:fill="FFFFFF"/>
              <w:suppressAutoHyphens/>
              <w:spacing w:before="60" w:after="0" w:line="240" w:lineRule="auto"/>
              <w:ind w:firstLine="170"/>
              <w:jc w:val="both"/>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Виконано частково.</w:t>
            </w:r>
          </w:p>
          <w:p w14:paraId="334F7E41" w14:textId="77777777" w:rsidR="005F6D10" w:rsidRPr="00195464" w:rsidRDefault="005F6D10" w:rsidP="005F6D10">
            <w:pPr>
              <w:shd w:val="clear" w:color="auto" w:fill="FFFFFF"/>
              <w:suppressAutoHyphens/>
              <w:spacing w:after="0" w:line="240" w:lineRule="auto"/>
              <w:ind w:firstLine="170"/>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Відповідними органами повідомлено, що ними поступово вносяться зміни до власних НПА.</w:t>
            </w:r>
          </w:p>
          <w:p w14:paraId="0BAB494D" w14:textId="77777777" w:rsidR="005F6D10" w:rsidRPr="00195464" w:rsidRDefault="005F6D10" w:rsidP="005F6D10">
            <w:pPr>
              <w:shd w:val="clear" w:color="auto" w:fill="FFFFFF"/>
              <w:suppressAutoHyphens/>
              <w:spacing w:after="0" w:line="240" w:lineRule="auto"/>
              <w:ind w:firstLine="170"/>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Прийнято відповідні акти: НБУ, НКЦПФР та Антимонопольним комітетом.</w:t>
            </w:r>
          </w:p>
          <w:p w14:paraId="4527BF9A" w14:textId="6AA01B59" w:rsidR="005F6D10" w:rsidRPr="00195464" w:rsidRDefault="005F6D10" w:rsidP="005F6D10">
            <w:pPr>
              <w:shd w:val="clear" w:color="auto" w:fill="FFFFFF"/>
              <w:suppressAutoHyphens/>
              <w:spacing w:after="0" w:line="240" w:lineRule="auto"/>
              <w:ind w:firstLine="170"/>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Проекти відповідних актів роз</w:t>
            </w:r>
            <w:r w:rsidR="00195464">
              <w:rPr>
                <w:rFonts w:ascii="Times New Roman" w:eastAsia="Times New Roman" w:hAnsi="Times New Roman" w:cs="Times New Roman"/>
                <w:kern w:val="1"/>
                <w:sz w:val="26"/>
                <w:szCs w:val="26"/>
                <w:lang w:eastAsia="ru-RU" w:bidi="hi-IN"/>
              </w:rPr>
              <w:t>р</w:t>
            </w:r>
            <w:r w:rsidRPr="00195464">
              <w:rPr>
                <w:rFonts w:ascii="Times New Roman" w:eastAsia="Times New Roman" w:hAnsi="Times New Roman" w:cs="Times New Roman"/>
                <w:kern w:val="1"/>
                <w:sz w:val="26"/>
                <w:szCs w:val="26"/>
                <w:lang w:eastAsia="ru-RU" w:bidi="hi-IN"/>
              </w:rPr>
              <w:t xml:space="preserve">обляються: </w:t>
            </w:r>
            <w:proofErr w:type="spellStart"/>
            <w:r w:rsidRPr="00195464">
              <w:rPr>
                <w:rFonts w:ascii="Times New Roman" w:eastAsia="Times New Roman" w:hAnsi="Times New Roman" w:cs="Times New Roman"/>
                <w:kern w:val="1"/>
                <w:sz w:val="26"/>
                <w:szCs w:val="26"/>
                <w:lang w:eastAsia="ru-RU" w:bidi="hi-IN"/>
              </w:rPr>
              <w:t>Держгеонадрами</w:t>
            </w:r>
            <w:proofErr w:type="spellEnd"/>
            <w:r w:rsidRPr="00195464">
              <w:rPr>
                <w:rFonts w:ascii="Times New Roman" w:eastAsia="Times New Roman" w:hAnsi="Times New Roman" w:cs="Times New Roman"/>
                <w:kern w:val="1"/>
                <w:sz w:val="26"/>
                <w:szCs w:val="26"/>
                <w:lang w:eastAsia="ru-RU" w:bidi="hi-IN"/>
              </w:rPr>
              <w:t xml:space="preserve">, </w:t>
            </w:r>
            <w:proofErr w:type="spellStart"/>
            <w:r w:rsidRPr="00195464">
              <w:rPr>
                <w:rFonts w:ascii="Times New Roman" w:eastAsia="Times New Roman" w:hAnsi="Times New Roman" w:cs="Times New Roman"/>
                <w:kern w:val="1"/>
                <w:sz w:val="26"/>
                <w:szCs w:val="26"/>
                <w:lang w:eastAsia="ru-RU" w:bidi="hi-IN"/>
              </w:rPr>
              <w:t>Укрдержархівом</w:t>
            </w:r>
            <w:proofErr w:type="spellEnd"/>
            <w:r w:rsidRPr="00195464">
              <w:rPr>
                <w:rFonts w:ascii="Times New Roman" w:eastAsia="Times New Roman" w:hAnsi="Times New Roman" w:cs="Times New Roman"/>
                <w:kern w:val="1"/>
                <w:sz w:val="26"/>
                <w:szCs w:val="26"/>
                <w:lang w:eastAsia="ru-RU" w:bidi="hi-IN"/>
              </w:rPr>
              <w:t xml:space="preserve">, </w:t>
            </w:r>
            <w:proofErr w:type="spellStart"/>
            <w:r w:rsidRPr="00195464">
              <w:rPr>
                <w:rFonts w:ascii="Times New Roman" w:eastAsia="Times New Roman" w:hAnsi="Times New Roman" w:cs="Times New Roman"/>
                <w:kern w:val="1"/>
                <w:sz w:val="26"/>
                <w:szCs w:val="26"/>
                <w:lang w:eastAsia="ru-RU" w:bidi="hi-IN"/>
              </w:rPr>
              <w:t>Держенергоефективності</w:t>
            </w:r>
            <w:proofErr w:type="spellEnd"/>
            <w:r w:rsidRPr="00195464">
              <w:rPr>
                <w:rFonts w:ascii="Times New Roman" w:eastAsia="Times New Roman" w:hAnsi="Times New Roman" w:cs="Times New Roman"/>
                <w:kern w:val="1"/>
                <w:sz w:val="26"/>
                <w:szCs w:val="26"/>
                <w:lang w:eastAsia="ru-RU" w:bidi="hi-IN"/>
              </w:rPr>
              <w:t>.</w:t>
            </w:r>
          </w:p>
        </w:tc>
      </w:tr>
      <w:tr w:rsidR="005F6D10" w:rsidRPr="00195464" w14:paraId="1EFD71D1" w14:textId="77777777" w:rsidTr="005F6D10">
        <w:tc>
          <w:tcPr>
            <w:tcW w:w="993" w:type="dxa"/>
            <w:shd w:val="clear" w:color="auto" w:fill="auto"/>
          </w:tcPr>
          <w:p w14:paraId="70F46852"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3.</w:t>
            </w:r>
          </w:p>
        </w:tc>
        <w:tc>
          <w:tcPr>
            <w:tcW w:w="2835" w:type="dxa"/>
            <w:shd w:val="clear" w:color="auto" w:fill="auto"/>
          </w:tcPr>
          <w:p w14:paraId="6B52F824"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Виключення необхідності нотаріального посвідчення картки із зразком підпису для відкриття рахунка у банку</w:t>
            </w:r>
          </w:p>
        </w:tc>
        <w:tc>
          <w:tcPr>
            <w:tcW w:w="2835" w:type="dxa"/>
            <w:shd w:val="clear" w:color="auto" w:fill="auto"/>
          </w:tcPr>
          <w:p w14:paraId="69065BB6"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внесення змін до Порядку вчинення нотаріальних дій нотаріусами України, затвердженого наказом Мін’юсту від 22 лютого 2012 р. № 296/5</w:t>
            </w:r>
          </w:p>
        </w:tc>
        <w:tc>
          <w:tcPr>
            <w:tcW w:w="1984" w:type="dxa"/>
            <w:shd w:val="clear" w:color="auto" w:fill="auto"/>
          </w:tcPr>
          <w:p w14:paraId="33F93ED8" w14:textId="77777777" w:rsidR="005F6D10" w:rsidRPr="00195464" w:rsidRDefault="005F6D10" w:rsidP="005F6D10">
            <w:pPr>
              <w:shd w:val="clear" w:color="auto" w:fill="FFFFFF"/>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Мін’юст</w:t>
            </w:r>
          </w:p>
        </w:tc>
        <w:tc>
          <w:tcPr>
            <w:tcW w:w="1560" w:type="dxa"/>
            <w:shd w:val="clear" w:color="auto" w:fill="FFFFFF"/>
          </w:tcPr>
          <w:p w14:paraId="7BECA341" w14:textId="77777777" w:rsidR="005F6D10" w:rsidRPr="00195464" w:rsidRDefault="005F6D10" w:rsidP="005F6D10">
            <w:pPr>
              <w:shd w:val="clear" w:color="auto" w:fill="FFFFFF"/>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I квартал 2020 р.</w:t>
            </w:r>
          </w:p>
        </w:tc>
        <w:tc>
          <w:tcPr>
            <w:tcW w:w="5528" w:type="dxa"/>
            <w:shd w:val="clear" w:color="auto" w:fill="FFFFFF"/>
          </w:tcPr>
          <w:p w14:paraId="403FFD0F" w14:textId="77777777" w:rsidR="005F6D10" w:rsidRPr="00195464" w:rsidRDefault="005F6D10" w:rsidP="005F6D10">
            <w:pPr>
              <w:shd w:val="clear" w:color="auto" w:fill="FFFFFF"/>
              <w:spacing w:before="60" w:after="0" w:line="240" w:lineRule="auto"/>
              <w:ind w:firstLine="170"/>
              <w:rPr>
                <w:rFonts w:ascii="Times New Roman" w:eastAsia="Calibri" w:hAnsi="Times New Roman" w:cs="Times New Roman"/>
                <w:b/>
                <w:sz w:val="26"/>
                <w:szCs w:val="26"/>
              </w:rPr>
            </w:pPr>
            <w:r w:rsidRPr="00195464">
              <w:rPr>
                <w:rFonts w:ascii="Times New Roman" w:eastAsia="Calibri" w:hAnsi="Times New Roman" w:cs="Times New Roman"/>
                <w:b/>
                <w:sz w:val="26"/>
                <w:szCs w:val="26"/>
              </w:rPr>
              <w:t>Виконано.</w:t>
            </w:r>
          </w:p>
          <w:p w14:paraId="71DBF972" w14:textId="77777777" w:rsidR="005F6D10" w:rsidRPr="00195464" w:rsidRDefault="005F6D10" w:rsidP="005F6D10">
            <w:pPr>
              <w:shd w:val="clear" w:color="auto" w:fill="FFFFFF"/>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Міністерством юстиції України видано </w:t>
            </w:r>
            <w:r w:rsidRPr="00195464">
              <w:rPr>
                <w:rFonts w:ascii="Times New Roman" w:eastAsia="Calibri" w:hAnsi="Times New Roman" w:cs="Times New Roman"/>
                <w:b/>
                <w:bCs/>
                <w:sz w:val="26"/>
                <w:szCs w:val="26"/>
              </w:rPr>
              <w:t>наказ від 13.01.2020 № 109/5 “Про внесення змін до деяких нормативно-правових актів Міністерства юстиції України”</w:t>
            </w:r>
            <w:r w:rsidRPr="00195464">
              <w:rPr>
                <w:rFonts w:ascii="Times New Roman" w:eastAsia="Calibri" w:hAnsi="Times New Roman" w:cs="Times New Roman"/>
                <w:sz w:val="26"/>
                <w:szCs w:val="26"/>
              </w:rPr>
              <w:t xml:space="preserve"> (зареєстровано в Міністерстві юстиції України 17.01.2020 за № 54/34337, яким внесено відповідні зміни до Порядку вчинення нотаріальних дій нотаріусами України. Зазначені зміни скасовують засвідчення зразків підписів посадових осіб юридичних осіб на картках, що подаються до банків з метою відкриття рахунків.</w:t>
            </w:r>
          </w:p>
        </w:tc>
      </w:tr>
      <w:tr w:rsidR="005F6D10" w:rsidRPr="00195464" w14:paraId="3C11A887" w14:textId="77777777" w:rsidTr="005F6D10">
        <w:tc>
          <w:tcPr>
            <w:tcW w:w="993" w:type="dxa"/>
            <w:shd w:val="clear" w:color="auto" w:fill="auto"/>
          </w:tcPr>
          <w:p w14:paraId="7C042BE0"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4.</w:t>
            </w:r>
          </w:p>
        </w:tc>
        <w:tc>
          <w:tcPr>
            <w:tcW w:w="2835" w:type="dxa"/>
            <w:shd w:val="clear" w:color="auto" w:fill="auto"/>
          </w:tcPr>
          <w:p w14:paraId="47141F1E"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Забезпечення повноцінного функціонування сервісу онлайн- реєстрації товариства з обмеженою відповідальністю з метою реалізації Закону України “Про внесення змін до деяких законодавчих актів України щодо стимулювання інвестиційної діяльності в Україні”</w:t>
            </w:r>
          </w:p>
        </w:tc>
        <w:tc>
          <w:tcPr>
            <w:tcW w:w="2835" w:type="dxa"/>
            <w:shd w:val="clear" w:color="auto" w:fill="auto"/>
          </w:tcPr>
          <w:p w14:paraId="69FAADB8"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визначення порядку функціонування порталу електронних сервісів з визначенням, зокрема, алгоритму формування цифрового коду модельного статуту України</w:t>
            </w:r>
          </w:p>
        </w:tc>
        <w:tc>
          <w:tcPr>
            <w:tcW w:w="1984" w:type="dxa"/>
            <w:shd w:val="clear" w:color="auto" w:fill="auto"/>
          </w:tcPr>
          <w:p w14:paraId="50E7544B" w14:textId="77777777" w:rsidR="005F6D10" w:rsidRPr="00195464" w:rsidRDefault="005F6D10" w:rsidP="005F6D10">
            <w:pPr>
              <w:shd w:val="clear" w:color="auto" w:fill="FFFFFF"/>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Мін’юст</w:t>
            </w:r>
          </w:p>
        </w:tc>
        <w:tc>
          <w:tcPr>
            <w:tcW w:w="1560" w:type="dxa"/>
            <w:shd w:val="clear" w:color="auto" w:fill="FFFFFF"/>
          </w:tcPr>
          <w:p w14:paraId="5599A307" w14:textId="77777777" w:rsidR="005F6D10" w:rsidRPr="00195464" w:rsidRDefault="005F6D10" w:rsidP="005F6D10">
            <w:pPr>
              <w:shd w:val="clear" w:color="auto" w:fill="FFFFFF"/>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I квартал 2020 р.</w:t>
            </w:r>
          </w:p>
        </w:tc>
        <w:tc>
          <w:tcPr>
            <w:tcW w:w="5528" w:type="dxa"/>
            <w:shd w:val="clear" w:color="auto" w:fill="FFFFFF"/>
          </w:tcPr>
          <w:p w14:paraId="02101EF6" w14:textId="77777777" w:rsidR="005F6D10" w:rsidRPr="00195464" w:rsidRDefault="005F6D10" w:rsidP="005F6D10">
            <w:pPr>
              <w:shd w:val="clear" w:color="auto" w:fill="FFFFFF"/>
              <w:spacing w:before="60" w:after="0" w:line="240" w:lineRule="auto"/>
              <w:ind w:firstLine="170"/>
              <w:rPr>
                <w:rFonts w:ascii="Times New Roman" w:eastAsia="Calibri" w:hAnsi="Times New Roman" w:cs="Times New Roman"/>
                <w:b/>
                <w:sz w:val="26"/>
                <w:szCs w:val="26"/>
              </w:rPr>
            </w:pPr>
            <w:r w:rsidRPr="00195464">
              <w:rPr>
                <w:rFonts w:ascii="Times New Roman" w:eastAsia="Calibri" w:hAnsi="Times New Roman" w:cs="Times New Roman"/>
                <w:b/>
                <w:sz w:val="26"/>
                <w:szCs w:val="26"/>
              </w:rPr>
              <w:t>Виконано.</w:t>
            </w:r>
          </w:p>
          <w:p w14:paraId="3F80678F"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Видано </w:t>
            </w:r>
            <w:r w:rsidRPr="00195464">
              <w:rPr>
                <w:rFonts w:ascii="Times New Roman" w:eastAsia="Calibri" w:hAnsi="Times New Roman" w:cs="Times New Roman"/>
                <w:b/>
                <w:bCs/>
                <w:sz w:val="26"/>
                <w:szCs w:val="26"/>
              </w:rPr>
              <w:t>наказ Міністерства юстиції України від 20.03.2020 № 1162/5 “Про внесення змін до деяких нормативно-правових актів Міністерства юстиції України”</w:t>
            </w:r>
            <w:r w:rsidRPr="00195464">
              <w:rPr>
                <w:rFonts w:ascii="Times New Roman" w:eastAsia="Calibri" w:hAnsi="Times New Roman" w:cs="Times New Roman"/>
                <w:sz w:val="26"/>
                <w:szCs w:val="26"/>
              </w:rPr>
              <w:t xml:space="preserve"> (зареєстровано в Міністерстві юстиції України 23.03.2020 за № 295/34578). Цим наказом, зокрема Порядок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(затверджено наказом Міністерства юстиції України від  23.03.2016 № 784/5, зареєстровано в Міністерстві юстиції України 23.03.2016 за № 427/28557), доповнено новим додатком </w:t>
            </w:r>
            <w:r w:rsidRPr="00195464">
              <w:rPr>
                <w:rFonts w:ascii="Times New Roman" w:eastAsia="Calibri" w:hAnsi="Times New Roman" w:cs="Times New Roman"/>
                <w:b/>
                <w:i/>
                <w:sz w:val="26"/>
                <w:szCs w:val="26"/>
              </w:rPr>
              <w:t>“Єдиний алгоритм формування цифрового коду модельного статуту товариства з обмеженою відповідальністю”</w:t>
            </w:r>
            <w:r w:rsidRPr="00195464">
              <w:rPr>
                <w:rFonts w:ascii="Times New Roman" w:eastAsia="Calibri" w:hAnsi="Times New Roman" w:cs="Times New Roman"/>
                <w:sz w:val="26"/>
                <w:szCs w:val="26"/>
              </w:rPr>
              <w:t>.</w:t>
            </w:r>
          </w:p>
        </w:tc>
      </w:tr>
      <w:tr w:rsidR="005F6D10" w:rsidRPr="00195464" w14:paraId="50C80761" w14:textId="77777777" w:rsidTr="005F6D10">
        <w:tc>
          <w:tcPr>
            <w:tcW w:w="993" w:type="dxa"/>
            <w:shd w:val="clear" w:color="auto" w:fill="auto"/>
          </w:tcPr>
          <w:p w14:paraId="0C7B09C7"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5.</w:t>
            </w:r>
          </w:p>
        </w:tc>
        <w:tc>
          <w:tcPr>
            <w:tcW w:w="2835" w:type="dxa"/>
            <w:shd w:val="clear" w:color="auto" w:fill="auto"/>
          </w:tcPr>
          <w:p w14:paraId="6732DCC0"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Скасування повідомлення про оформлення працівника під час прийняття на роботу</w:t>
            </w:r>
          </w:p>
        </w:tc>
        <w:tc>
          <w:tcPr>
            <w:tcW w:w="2835" w:type="dxa"/>
            <w:shd w:val="clear" w:color="auto" w:fill="auto"/>
          </w:tcPr>
          <w:p w14:paraId="254B9A34"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розроблення та подання на розгляд Кабінету Міністрів України: </w:t>
            </w:r>
            <w:r w:rsidRPr="00195464">
              <w:rPr>
                <w:rFonts w:ascii="Times New Roman" w:eastAsia="Calibri" w:hAnsi="Times New Roman" w:cs="Times New Roman"/>
                <w:sz w:val="26"/>
                <w:szCs w:val="26"/>
              </w:rPr>
              <w:br/>
              <w:t xml:space="preserve">законопроекту щодо внесення змін до Кодексу законів про працю України та Закону України “Про державну реєстрацію юридичних осіб, фізичних осіб — підприємців та громадських формувань”; </w:t>
            </w:r>
          </w:p>
          <w:p w14:paraId="6067784F" w14:textId="77777777" w:rsidR="005F6D10" w:rsidRPr="00195464" w:rsidRDefault="005F6D10" w:rsidP="005F6D10">
            <w:pPr>
              <w:shd w:val="clear" w:color="auto" w:fill="FFFFFF"/>
              <w:spacing w:before="12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проекту постанови Кабінету Міністрів України “Про визнання такою, що втратила чинність, постанови Кабінету Міністрів України від 17 червня 2015 р. № 413”</w:t>
            </w:r>
          </w:p>
        </w:tc>
        <w:tc>
          <w:tcPr>
            <w:tcW w:w="1984" w:type="dxa"/>
          </w:tcPr>
          <w:p w14:paraId="7C7F4A1C" w14:textId="77777777" w:rsidR="005F6D10" w:rsidRPr="00195464" w:rsidRDefault="005F6D10" w:rsidP="005F6D10">
            <w:pPr>
              <w:shd w:val="clear" w:color="auto" w:fill="FFFFFF"/>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Мінекономіки</w:t>
            </w:r>
          </w:p>
        </w:tc>
        <w:tc>
          <w:tcPr>
            <w:tcW w:w="1560" w:type="dxa"/>
            <w:shd w:val="clear" w:color="auto" w:fill="FFFFFF"/>
          </w:tcPr>
          <w:p w14:paraId="3A4B0517" w14:textId="77777777" w:rsidR="005F6D10" w:rsidRPr="00195464" w:rsidRDefault="005F6D10" w:rsidP="005F6D10">
            <w:pPr>
              <w:shd w:val="clear" w:color="auto" w:fill="FFFFFF"/>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I квартал 2020 р.</w:t>
            </w:r>
          </w:p>
        </w:tc>
        <w:tc>
          <w:tcPr>
            <w:tcW w:w="5528" w:type="dxa"/>
            <w:shd w:val="clear" w:color="auto" w:fill="auto"/>
          </w:tcPr>
          <w:p w14:paraId="6B0F1300" w14:textId="77777777" w:rsidR="005F6D10" w:rsidRPr="00195464" w:rsidRDefault="005F6D10" w:rsidP="005F6D10">
            <w:pPr>
              <w:shd w:val="clear" w:color="auto" w:fill="FFFFFF"/>
              <w:suppressAutoHyphens/>
              <w:spacing w:before="60" w:after="0" w:line="240" w:lineRule="auto"/>
              <w:ind w:firstLine="170"/>
              <w:jc w:val="both"/>
              <w:rPr>
                <w:rFonts w:ascii="Times New Roman" w:eastAsia="Calibri" w:hAnsi="Times New Roman" w:cs="Times New Roman"/>
                <w:b/>
                <w:sz w:val="26"/>
                <w:szCs w:val="26"/>
              </w:rPr>
            </w:pPr>
            <w:r w:rsidRPr="00195464">
              <w:rPr>
                <w:rFonts w:ascii="Times New Roman" w:eastAsia="Calibri" w:hAnsi="Times New Roman" w:cs="Times New Roman"/>
                <w:b/>
                <w:sz w:val="26"/>
                <w:szCs w:val="26"/>
              </w:rPr>
              <w:t>Виконано.</w:t>
            </w:r>
          </w:p>
          <w:p w14:paraId="3C58EA6D"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b/>
                <w:bCs/>
                <w:sz w:val="26"/>
                <w:szCs w:val="26"/>
              </w:rPr>
              <w:t>Постановою Кабінету Міністрів України від 12.02.2020 № 188 “Про внесення змін до постанови Кабінету Міністрів України від  17 червня 2015 р. № 413”</w:t>
            </w:r>
            <w:r w:rsidRPr="00195464">
              <w:rPr>
                <w:rFonts w:ascii="Times New Roman" w:eastAsia="Calibri" w:hAnsi="Times New Roman" w:cs="Times New Roman"/>
                <w:sz w:val="26"/>
                <w:szCs w:val="26"/>
              </w:rPr>
              <w:t xml:space="preserve"> внесено зміни до постанови Уряду від 17.06.2015 № 413 “Про порядок повідомлення Державній податковій службі та її територіальним органам про прийняття працівника на роботу” (далі – Постанова), якими скасовано необхідність подання повідомлення про прийняття (далі – повідомлення) на роботу члена виконавчого органу господарського товариства, керівника підприємства, установи, організації.</w:t>
            </w:r>
          </w:p>
          <w:p w14:paraId="3A262227"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Вказаними змінами було ліквідовано законодавчі неузгодженості з зазначеного питання та спрощено процедуру реєстрації та початку здійснення господарської діяльності.</w:t>
            </w:r>
          </w:p>
          <w:p w14:paraId="63F901BD"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Разом з цим, зазначаємо, що повідомлення є ефективним механізмом для встановлення факту початку трудових відносин між роботодавцем і працівником та здійснюється за декларативним принципом.</w:t>
            </w:r>
          </w:p>
          <w:p w14:paraId="62C4AC1D"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Також Постановою передбачено можливість вибору для суб’єкта господарювання способу подання повідомлення: засобами електронного зв’язку з використанням кваліфікованого електронного підпису відповідальних осіб відповідно до вимог законодавства у сфері електронного документообігу та електронних довірчих послуг, на паперових носіях разом з копією в електронній формі або ж на паперових носіях, якщо трудові договори укладено не більше ніж із п’ятьма особами.</w:t>
            </w:r>
          </w:p>
          <w:p w14:paraId="2E0BC96D"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Тому законодавством гарантовано доступність подання повідомлення для всіх суб’єктів господарювання – засобами електронного зв’язку, які не передбачають безпосереднього контакту з представниками будь-яких органів державної влади чи місцевого самоврядування, здійснюються за допомогою засобів самого суб’єкта господарювання та потребують мінімальної кількості часу для їх подання, або ж на паперових носіях для випадків, коли суб’єкт господарювання не має можливості чи бажання подавати повідомлення засобами електронного зв’язку.</w:t>
            </w:r>
          </w:p>
          <w:p w14:paraId="153B1BDD"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Форма повідомлення, затверджена Постановою, включає мінімальний і достатній обсяг даних для ідентифікації роботодавця і працівника та внесення цієї інформації до реєстру страхувальників та реєстру застрахованих осіб відповідно до Закону України “Про збір та облік єдиного внеску на загальнообов’язкове державне соціальне страхування”, а також не викликає труднощів при її заповненні.</w:t>
            </w:r>
          </w:p>
          <w:p w14:paraId="17A8A8C8"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Також зазначаємо, що подання аналогічних повідомлень передбачено законодавством інших країн, зокрема Нової Зеландії, яка посідає 1 місце рейтингу “</w:t>
            </w:r>
            <w:proofErr w:type="spellStart"/>
            <w:r w:rsidRPr="00195464">
              <w:rPr>
                <w:rFonts w:ascii="Times New Roman" w:eastAsia="Calibri" w:hAnsi="Times New Roman" w:cs="Times New Roman"/>
                <w:sz w:val="26"/>
                <w:szCs w:val="26"/>
              </w:rPr>
              <w:t>Doing</w:t>
            </w:r>
            <w:proofErr w:type="spellEnd"/>
            <w:r w:rsidRPr="00195464">
              <w:rPr>
                <w:rFonts w:ascii="Times New Roman" w:eastAsia="Calibri" w:hAnsi="Times New Roman" w:cs="Times New Roman"/>
                <w:sz w:val="26"/>
                <w:szCs w:val="26"/>
              </w:rPr>
              <w:t xml:space="preserve"> </w:t>
            </w:r>
            <w:proofErr w:type="spellStart"/>
            <w:r w:rsidRPr="00195464">
              <w:rPr>
                <w:rFonts w:ascii="Times New Roman" w:eastAsia="Calibri" w:hAnsi="Times New Roman" w:cs="Times New Roman"/>
                <w:sz w:val="26"/>
                <w:szCs w:val="26"/>
              </w:rPr>
              <w:t>Business</w:t>
            </w:r>
            <w:proofErr w:type="spellEnd"/>
            <w:r w:rsidRPr="00195464">
              <w:rPr>
                <w:rFonts w:ascii="Times New Roman" w:eastAsia="Calibri" w:hAnsi="Times New Roman" w:cs="Times New Roman"/>
                <w:sz w:val="26"/>
                <w:szCs w:val="26"/>
              </w:rPr>
              <w:t>” у категорії “</w:t>
            </w:r>
            <w:proofErr w:type="spellStart"/>
            <w:r w:rsidRPr="00195464">
              <w:rPr>
                <w:rFonts w:ascii="Times New Roman" w:eastAsia="Calibri" w:hAnsi="Times New Roman" w:cs="Times New Roman"/>
                <w:sz w:val="26"/>
                <w:szCs w:val="26"/>
              </w:rPr>
              <w:t>Starting</w:t>
            </w:r>
            <w:proofErr w:type="spellEnd"/>
            <w:r w:rsidRPr="00195464">
              <w:rPr>
                <w:rFonts w:ascii="Times New Roman" w:eastAsia="Calibri" w:hAnsi="Times New Roman" w:cs="Times New Roman"/>
                <w:sz w:val="26"/>
                <w:szCs w:val="26"/>
              </w:rPr>
              <w:t xml:space="preserve"> a </w:t>
            </w:r>
            <w:proofErr w:type="spellStart"/>
            <w:r w:rsidRPr="00195464">
              <w:rPr>
                <w:rFonts w:ascii="Times New Roman" w:eastAsia="Calibri" w:hAnsi="Times New Roman" w:cs="Times New Roman"/>
                <w:sz w:val="26"/>
                <w:szCs w:val="26"/>
              </w:rPr>
              <w:t>Business</w:t>
            </w:r>
            <w:proofErr w:type="spellEnd"/>
            <w:r w:rsidRPr="00195464">
              <w:rPr>
                <w:rFonts w:ascii="Times New Roman" w:eastAsia="Calibri" w:hAnsi="Times New Roman" w:cs="Times New Roman"/>
                <w:sz w:val="26"/>
                <w:szCs w:val="26"/>
              </w:rPr>
              <w:t>”.</w:t>
            </w:r>
          </w:p>
          <w:p w14:paraId="3C5FBCAD"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Таким чином, на сьогодні повідомлення виконує важливу функцію у регулюванні трудових відносин та забезпеченні здійснення державного соціального страхування, а тому необхідність його подання не може бути скасовано. </w:t>
            </w:r>
          </w:p>
          <w:p w14:paraId="3FD5FF48"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Мінекономіки листом від 06.07.2020 № 3501-01/41576-01 звернулося до КМУ щодо зняття з контролю виконання цього пункту.</w:t>
            </w:r>
          </w:p>
          <w:p w14:paraId="0FAF3D1C" w14:textId="77777777" w:rsidR="005F6D10" w:rsidRPr="00195464" w:rsidRDefault="005F6D10" w:rsidP="005F6D10">
            <w:pPr>
              <w:shd w:val="clear" w:color="auto" w:fill="FFFFFF"/>
              <w:suppressAutoHyphens/>
              <w:spacing w:after="0" w:line="240" w:lineRule="auto"/>
              <w:ind w:firstLine="170"/>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Резолюція Віце-прем’єр-міністра України - Міністра з питань реінтеграції тимчасово окупованих територій України від  15.07.2020 № 28246/1/1-20 Олексія </w:t>
            </w:r>
            <w:proofErr w:type="spellStart"/>
            <w:r w:rsidRPr="00195464">
              <w:rPr>
                <w:rFonts w:ascii="Times New Roman" w:eastAsia="Calibri" w:hAnsi="Times New Roman" w:cs="Times New Roman"/>
                <w:sz w:val="26"/>
                <w:szCs w:val="26"/>
              </w:rPr>
              <w:t>Резникова</w:t>
            </w:r>
            <w:proofErr w:type="spellEnd"/>
            <w:r w:rsidRPr="00195464">
              <w:rPr>
                <w:rFonts w:ascii="Times New Roman" w:eastAsia="Calibri" w:hAnsi="Times New Roman" w:cs="Times New Roman"/>
                <w:sz w:val="26"/>
                <w:szCs w:val="26"/>
              </w:rPr>
              <w:t>: “З поданою пропозицією згоден.”.</w:t>
            </w:r>
          </w:p>
        </w:tc>
      </w:tr>
      <w:tr w:rsidR="005F6D10" w:rsidRPr="00195464" w14:paraId="58E47BD0" w14:textId="77777777" w:rsidTr="005F6D10">
        <w:tc>
          <w:tcPr>
            <w:tcW w:w="15735" w:type="dxa"/>
            <w:gridSpan w:val="6"/>
            <w:shd w:val="clear" w:color="auto" w:fill="auto"/>
          </w:tcPr>
          <w:p w14:paraId="24CFF486" w14:textId="77777777" w:rsidR="005F6D10" w:rsidRPr="00195464" w:rsidRDefault="005F6D10" w:rsidP="005F6D10">
            <w:pPr>
              <w:shd w:val="clear" w:color="auto" w:fill="FFFFFF"/>
              <w:suppressAutoHyphens/>
              <w:spacing w:before="60" w:after="0" w:line="240" w:lineRule="auto"/>
              <w:ind w:firstLine="170"/>
              <w:jc w:val="center"/>
              <w:rPr>
                <w:rFonts w:ascii="Times New Roman" w:eastAsia="Calibri" w:hAnsi="Times New Roman" w:cs="Times New Roman"/>
                <w:b/>
                <w:sz w:val="26"/>
                <w:szCs w:val="26"/>
              </w:rPr>
            </w:pPr>
            <w:r w:rsidRPr="00195464">
              <w:rPr>
                <w:rFonts w:ascii="Times New Roman" w:eastAsia="Times New Roman" w:hAnsi="Times New Roman" w:cs="Times New Roman"/>
                <w:b/>
                <w:kern w:val="1"/>
                <w:sz w:val="26"/>
                <w:szCs w:val="26"/>
                <w:lang w:eastAsia="ru-RU" w:bidi="hi-IN"/>
              </w:rPr>
              <w:t>Отримання дозволів на будівництво</w:t>
            </w:r>
          </w:p>
        </w:tc>
      </w:tr>
      <w:tr w:rsidR="005F6D10" w:rsidRPr="00195464" w14:paraId="47EB5E14" w14:textId="77777777" w:rsidTr="005F6D10">
        <w:tc>
          <w:tcPr>
            <w:tcW w:w="993" w:type="dxa"/>
            <w:shd w:val="clear" w:color="auto" w:fill="auto"/>
          </w:tcPr>
          <w:p w14:paraId="506ED12C"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6.</w:t>
            </w:r>
          </w:p>
        </w:tc>
        <w:tc>
          <w:tcPr>
            <w:tcW w:w="2835" w:type="dxa"/>
            <w:shd w:val="clear" w:color="auto" w:fill="auto"/>
          </w:tcPr>
          <w:p w14:paraId="465B736E" w14:textId="77777777" w:rsidR="005F6D10" w:rsidRPr="00195464" w:rsidRDefault="005F6D10" w:rsidP="005F6D10">
            <w:pPr>
              <w:shd w:val="clear" w:color="auto" w:fill="FFFFFF"/>
              <w:suppressAutoHyphens/>
              <w:spacing w:before="60" w:after="0" w:line="240" w:lineRule="auto"/>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Забезпечення функціонування Єдиної державної електронної системи у сфері будівництва, яка, зокрема, забезпечить можливість в режимі реального часу подання заяви та отримання містобудівних умов та обмежень, з метою реалізації Закону України “Про внесення змін до деяких законодавчих актів України щодо удосконалення порядку надання адміністративних послуг у сфері будівництва та створення Єдиної державної електронної системи у сфері будівництва”</w:t>
            </w:r>
          </w:p>
        </w:tc>
        <w:tc>
          <w:tcPr>
            <w:tcW w:w="2835" w:type="dxa"/>
            <w:shd w:val="clear" w:color="auto" w:fill="auto"/>
          </w:tcPr>
          <w:p w14:paraId="3D6812C3" w14:textId="77777777" w:rsidR="005F6D10" w:rsidRPr="00195464" w:rsidRDefault="005F6D10" w:rsidP="005F6D10">
            <w:pPr>
              <w:shd w:val="clear" w:color="auto" w:fill="FFFFFF"/>
              <w:suppressAutoHyphens/>
              <w:spacing w:before="60" w:after="0" w:line="240" w:lineRule="auto"/>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розроблення та внесення до Кабінету Міністрів України проекту порядку щодо функціонування Єдиної державної електронної системи у сфері будівництва</w:t>
            </w:r>
          </w:p>
        </w:tc>
        <w:tc>
          <w:tcPr>
            <w:tcW w:w="1984" w:type="dxa"/>
          </w:tcPr>
          <w:p w14:paraId="5CA48779" w14:textId="77777777" w:rsidR="005F6D10" w:rsidRPr="00195464" w:rsidRDefault="005F6D10" w:rsidP="005F6D10">
            <w:pPr>
              <w:shd w:val="clear" w:color="auto" w:fill="FFFFFF"/>
              <w:suppressAutoHyphens/>
              <w:spacing w:before="60" w:after="0" w:line="240" w:lineRule="auto"/>
              <w:jc w:val="center"/>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Мінрегіон</w:t>
            </w:r>
          </w:p>
        </w:tc>
        <w:tc>
          <w:tcPr>
            <w:tcW w:w="1560" w:type="dxa"/>
            <w:shd w:val="clear" w:color="auto" w:fill="FFFFFF"/>
          </w:tcPr>
          <w:p w14:paraId="2EEE157C" w14:textId="77777777" w:rsidR="005F6D10" w:rsidRPr="00195464" w:rsidRDefault="005F6D10" w:rsidP="005F6D10">
            <w:pPr>
              <w:shd w:val="clear" w:color="auto" w:fill="FFFFFF"/>
              <w:suppressAutoHyphens/>
              <w:spacing w:before="60" w:after="0" w:line="240" w:lineRule="auto"/>
              <w:jc w:val="center"/>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III квартал 2020 р</w:t>
            </w:r>
          </w:p>
        </w:tc>
        <w:tc>
          <w:tcPr>
            <w:tcW w:w="5528" w:type="dxa"/>
            <w:shd w:val="clear" w:color="auto" w:fill="auto"/>
          </w:tcPr>
          <w:p w14:paraId="7EBAF86E" w14:textId="77777777" w:rsidR="005F6D10" w:rsidRPr="00195464" w:rsidRDefault="005F6D10" w:rsidP="005F6D10">
            <w:pPr>
              <w:shd w:val="clear" w:color="auto" w:fill="FFFFFF"/>
              <w:suppressAutoHyphens/>
              <w:spacing w:before="60" w:after="0" w:line="240" w:lineRule="auto"/>
              <w:ind w:firstLine="176"/>
              <w:jc w:val="both"/>
              <w:rPr>
                <w:rFonts w:ascii="Times New Roman" w:eastAsia="Times New Roman" w:hAnsi="Times New Roman" w:cs="Times New Roman"/>
                <w:b/>
                <w:kern w:val="1"/>
                <w:sz w:val="26"/>
                <w:szCs w:val="26"/>
                <w:lang w:eastAsia="hi-IN" w:bidi="hi-IN"/>
              </w:rPr>
            </w:pPr>
            <w:r w:rsidRPr="00195464">
              <w:rPr>
                <w:rFonts w:ascii="Times New Roman" w:eastAsia="Times New Roman" w:hAnsi="Times New Roman" w:cs="Times New Roman"/>
                <w:b/>
                <w:kern w:val="1"/>
                <w:sz w:val="26"/>
                <w:szCs w:val="26"/>
                <w:lang w:eastAsia="hi-IN" w:bidi="hi-IN"/>
              </w:rPr>
              <w:t>Виконано частково.</w:t>
            </w:r>
          </w:p>
          <w:p w14:paraId="65D9919D"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 xml:space="preserve">Прийнято </w:t>
            </w:r>
            <w:r w:rsidRPr="00195464">
              <w:rPr>
                <w:rFonts w:ascii="Times New Roman" w:eastAsia="Times New Roman" w:hAnsi="Times New Roman" w:cs="Times New Roman"/>
                <w:b/>
                <w:bCs/>
                <w:kern w:val="1"/>
                <w:sz w:val="26"/>
                <w:szCs w:val="26"/>
                <w:lang w:eastAsia="hi-IN" w:bidi="hi-IN"/>
              </w:rPr>
              <w:t>постанову Кабінету Міністрів України від  01.07.2020 № 559 “Про реалізацію експериментального проекту щодо запровадження першої черги Єдиної державної електронної системи у сфері будівництва”</w:t>
            </w:r>
            <w:r w:rsidRPr="00195464">
              <w:rPr>
                <w:rFonts w:ascii="Times New Roman" w:eastAsia="Times New Roman" w:hAnsi="Times New Roman" w:cs="Times New Roman"/>
                <w:kern w:val="1"/>
                <w:sz w:val="26"/>
                <w:szCs w:val="26"/>
                <w:lang w:eastAsia="hi-IN" w:bidi="hi-IN"/>
              </w:rPr>
              <w:t>.</w:t>
            </w:r>
          </w:p>
          <w:p w14:paraId="66B42566"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Пунктом 2 цієї постанови затверджено Порядок проведення експериментального проекту щодо запровадження першої черги Єдиної державної електронної системи у сфері будівництва та Порядок ведення першої черги Єдиної державної електронної системи у сфері будівництва під час реалізації експериментального проекту. </w:t>
            </w:r>
          </w:p>
          <w:p w14:paraId="280BB371"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b/>
                <w:bCs/>
                <w:kern w:val="1"/>
                <w:sz w:val="26"/>
                <w:szCs w:val="26"/>
                <w:lang w:eastAsia="hi-IN" w:bidi="hi-IN"/>
              </w:rPr>
            </w:pPr>
            <w:r w:rsidRPr="00195464">
              <w:rPr>
                <w:rFonts w:ascii="Times New Roman" w:eastAsia="Times New Roman" w:hAnsi="Times New Roman" w:cs="Times New Roman"/>
                <w:kern w:val="1"/>
                <w:sz w:val="26"/>
                <w:szCs w:val="26"/>
                <w:lang w:eastAsia="hi-IN" w:bidi="hi-IN"/>
              </w:rPr>
              <w:t xml:space="preserve">Прийнято </w:t>
            </w:r>
            <w:r w:rsidRPr="00195464">
              <w:rPr>
                <w:rFonts w:ascii="Times New Roman" w:eastAsia="Times New Roman" w:hAnsi="Times New Roman" w:cs="Times New Roman"/>
                <w:b/>
                <w:bCs/>
                <w:kern w:val="1"/>
                <w:sz w:val="26"/>
                <w:szCs w:val="26"/>
                <w:lang w:eastAsia="hi-IN" w:bidi="hi-IN"/>
              </w:rPr>
              <w:t>розпорядження Кабінету Міністрів України від  20.05.2020. № 565 “Про затвердження плану заходів щодо створення та запровадження Єдиної державної електронної системи у сфері будівництва”.</w:t>
            </w:r>
          </w:p>
          <w:p w14:paraId="63EFB36A"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Мінрегіоном розроблено проект постанови Кабінету Міністрів України “Деякі питання забезпечення функціонування Єдиної державної електронної системи у сфері будівництва”. Зазначеним проектом передбачено затвердження Порядку ведення Єдиної державної електронної системи у сфері будівництва, внесення змін до деяких постанов Уряду, а також вимоги до підключення, критерії аналізу поданих/внесених даних на їх повноту, відповідність формату, логічність та достовірність, співвідношення класифікаторів цільового призначення, переліків функціонального зонування територій та класифікатора будівель і споруд, спеціалізації, кваліфікаційний рівень та класи наслідків (відповідальності) об’єктів, співвідношення типів речових прав на нерухоме майно із правом на виконання будівельних робіт та прийняття в експлуатацію закінчених будівництвом об’єктів, уніфіковані набори комплексних типів відомостей, набори комплексних типів відомостей для створення та внесення електронних документів, перелік відомостей для внесення до Реєстру будівельної діяльності, вимоги до змісту, структури та технічних характеристик електронного документа, що містить координати поворотних точок меж контурів об’єкта будівництва, їх висотності (крім об’єктів, будівництво яких здійснюється на підставі будівельного паспорта забудови земельної ділянки), вимоги до змісту, структури і технічних характеристик електронного документа, що містить результати контрольного геодезичного знімання, структура ідентифікатора об’єкта будівництва (закінченого будівництвом об’єкта).</w:t>
            </w:r>
          </w:p>
          <w:p w14:paraId="7DC2E0A4"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Листами Мінрегіону від  17.12.2020 №№ 7/14.3/20167-20, 7/14.3/20159-20, 7/14.3/20166-20 проект постанови направлений на погодження до центральних органів виконавчої влади.</w:t>
            </w:r>
          </w:p>
          <w:p w14:paraId="3830EC70"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hi-IN" w:bidi="hi-IN"/>
              </w:rPr>
            </w:pPr>
            <w:r w:rsidRPr="00195464">
              <w:rPr>
                <w:rFonts w:ascii="Times New Roman" w:eastAsia="Calibri" w:hAnsi="Times New Roman" w:cs="Times New Roman"/>
                <w:i/>
                <w:iCs/>
                <w:sz w:val="26"/>
                <w:szCs w:val="26"/>
              </w:rPr>
              <w:t>Мінекономіки вважає, що завдання буде виконаним у повному обсязі, коли Єдину державну електронну систему у сфері будівництва буде запроваджено не як експериментальний проект, а на постійній основі.</w:t>
            </w:r>
          </w:p>
        </w:tc>
      </w:tr>
      <w:tr w:rsidR="005F6D10" w:rsidRPr="00195464" w14:paraId="00BA2243" w14:textId="77777777" w:rsidTr="005F6D10">
        <w:tc>
          <w:tcPr>
            <w:tcW w:w="993" w:type="dxa"/>
            <w:shd w:val="clear" w:color="auto" w:fill="auto"/>
          </w:tcPr>
          <w:p w14:paraId="2B84F37E"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7.</w:t>
            </w:r>
          </w:p>
        </w:tc>
        <w:tc>
          <w:tcPr>
            <w:tcW w:w="2835" w:type="dxa"/>
            <w:shd w:val="clear" w:color="auto" w:fill="auto"/>
          </w:tcPr>
          <w:p w14:paraId="267DF487"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Встановлення норми щодо обов’язкового страхування відповідальності за недоліки, пов’язані з конструктивною безпекою будівлі після введення її в експлуатацію</w:t>
            </w:r>
          </w:p>
        </w:tc>
        <w:tc>
          <w:tcPr>
            <w:tcW w:w="2835" w:type="dxa"/>
            <w:shd w:val="clear" w:color="auto" w:fill="auto"/>
          </w:tcPr>
          <w:p w14:paraId="491AAB05"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розроблення та подання на розгляд Кабінету Міністрів України відповідного законопроекту</w:t>
            </w:r>
          </w:p>
        </w:tc>
        <w:tc>
          <w:tcPr>
            <w:tcW w:w="1984" w:type="dxa"/>
          </w:tcPr>
          <w:p w14:paraId="1F1FBFB3"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Мінрегіон</w:t>
            </w:r>
          </w:p>
        </w:tc>
        <w:tc>
          <w:tcPr>
            <w:tcW w:w="1560" w:type="dxa"/>
            <w:shd w:val="clear" w:color="auto" w:fill="FFFFFF"/>
          </w:tcPr>
          <w:p w14:paraId="200A0A8C"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III квартал 2020 р.</w:t>
            </w:r>
          </w:p>
        </w:tc>
        <w:tc>
          <w:tcPr>
            <w:tcW w:w="5528" w:type="dxa"/>
            <w:shd w:val="clear" w:color="auto" w:fill="auto"/>
          </w:tcPr>
          <w:p w14:paraId="3C437281" w14:textId="77777777" w:rsidR="005F6D10" w:rsidRPr="00195464" w:rsidRDefault="005F6D10" w:rsidP="005F6D10">
            <w:pPr>
              <w:shd w:val="clear" w:color="auto" w:fill="FFFFFF"/>
              <w:suppressAutoHyphens/>
              <w:spacing w:before="60" w:after="0" w:line="240" w:lineRule="auto"/>
              <w:ind w:firstLine="176"/>
              <w:jc w:val="both"/>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На розгляді ВРУ.</w:t>
            </w:r>
          </w:p>
          <w:p w14:paraId="028C89F2"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Мінрегіоном розроблено проект Закону України “Про внесення змін до деяких законодавчих актів України щодо реформування державного регулювання у сфері містобудування” (далі –Законопроект), до якого включені положення щодо запровадження страхування ризиків у будівництві.</w:t>
            </w:r>
          </w:p>
          <w:p w14:paraId="6494BC8A"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Зазначений Законопроект листом Мінрегіону від 10.07.2020 № 1/30/10157-20 направлений до Комітету Верховної Ради України з питань організації державної влади, місцевого самоврядування, регіонального розвитку та містобудування.</w:t>
            </w:r>
          </w:p>
          <w:p w14:paraId="3911D9BF"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16.07.2020 Законопроект зареєстровано у Верховній Раді України (</w:t>
            </w:r>
            <w:r w:rsidRPr="00195464">
              <w:rPr>
                <w:rFonts w:ascii="Times New Roman" w:eastAsia="Times New Roman" w:hAnsi="Times New Roman" w:cs="Times New Roman"/>
                <w:b/>
                <w:bCs/>
                <w:kern w:val="1"/>
                <w:sz w:val="26"/>
                <w:szCs w:val="26"/>
                <w:lang w:eastAsia="ru-RU" w:bidi="hi-IN"/>
              </w:rPr>
              <w:t>реєстр. № 3875</w:t>
            </w:r>
            <w:r w:rsidRPr="00195464">
              <w:rPr>
                <w:rFonts w:ascii="Times New Roman" w:eastAsia="Times New Roman" w:hAnsi="Times New Roman" w:cs="Times New Roman"/>
                <w:kern w:val="1"/>
                <w:sz w:val="26"/>
                <w:szCs w:val="26"/>
                <w:lang w:eastAsia="ru-RU" w:bidi="hi-IN"/>
              </w:rPr>
              <w:t>).</w:t>
            </w:r>
          </w:p>
          <w:p w14:paraId="7CDB362C"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Мінрегіоном буде здійснюватися супровід Законопроекту.</w:t>
            </w:r>
          </w:p>
        </w:tc>
      </w:tr>
      <w:tr w:rsidR="005F6D10" w:rsidRPr="00195464" w14:paraId="2AB36185" w14:textId="77777777" w:rsidTr="005F6D10">
        <w:tc>
          <w:tcPr>
            <w:tcW w:w="15735" w:type="dxa"/>
            <w:gridSpan w:val="6"/>
            <w:shd w:val="clear" w:color="auto" w:fill="auto"/>
          </w:tcPr>
          <w:p w14:paraId="7FC10395" w14:textId="77777777" w:rsidR="005F6D10" w:rsidRPr="00195464" w:rsidRDefault="005F6D10" w:rsidP="005F6D10">
            <w:pPr>
              <w:shd w:val="clear" w:color="auto" w:fill="FFFFFF"/>
              <w:suppressAutoHyphens/>
              <w:spacing w:before="60" w:after="0" w:line="240" w:lineRule="auto"/>
              <w:ind w:firstLine="176"/>
              <w:jc w:val="center"/>
              <w:rPr>
                <w:rFonts w:ascii="Times New Roman" w:eastAsia="Calibri" w:hAnsi="Times New Roman" w:cs="Times New Roman"/>
                <w:b/>
                <w:sz w:val="26"/>
                <w:szCs w:val="26"/>
              </w:rPr>
            </w:pPr>
            <w:r w:rsidRPr="00195464">
              <w:rPr>
                <w:rFonts w:ascii="Times New Roman" w:eastAsia="Calibri" w:hAnsi="Times New Roman" w:cs="Times New Roman"/>
                <w:b/>
                <w:sz w:val="26"/>
                <w:szCs w:val="26"/>
              </w:rPr>
              <w:t>Підключення до системи електрозабезпечення</w:t>
            </w:r>
          </w:p>
        </w:tc>
      </w:tr>
      <w:tr w:rsidR="005F6D10" w:rsidRPr="00195464" w14:paraId="674D0FB4" w14:textId="77777777" w:rsidTr="005F6D10">
        <w:tc>
          <w:tcPr>
            <w:tcW w:w="993" w:type="dxa"/>
            <w:shd w:val="clear" w:color="auto" w:fill="auto"/>
          </w:tcPr>
          <w:p w14:paraId="3EB0EA08"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8.</w:t>
            </w:r>
          </w:p>
        </w:tc>
        <w:tc>
          <w:tcPr>
            <w:tcW w:w="2835" w:type="dxa"/>
            <w:shd w:val="clear" w:color="auto" w:fill="auto"/>
          </w:tcPr>
          <w:p w14:paraId="240F1005"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Створення електронних кабінетів для: подання заяви щодо приєднання та супутніх документів за допомогою кваліфікованого електронного підпису; створення електронного договору щодо приєднання та технічних умов; підписання договору та технічних умов за допомогою кваліфікованого електронного підпису; виставлення рахунка на оплату; оплата рахунка (за бажанням); внесення даних про сплату рахунка; надання інформації про стан процесу приєднання; надання інформації про відповідальних виконавців (за бажанням); підписання акта виконаних робіт; підписання договору щодо розподілу</w:t>
            </w:r>
          </w:p>
        </w:tc>
        <w:tc>
          <w:tcPr>
            <w:tcW w:w="2835" w:type="dxa"/>
            <w:shd w:val="clear" w:color="auto" w:fill="auto"/>
          </w:tcPr>
          <w:p w14:paraId="70E664DB"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розроблення та подання на розгляд Кабінету Міністрів України законопроекту про внесення змін до Законів України “Про ринок електричної енергії”, “Про землі енергетики та правовий режим спеціальних зон енергетичних об’єктів”, “Про регулювання містобудівної діяльності”, “Про державну реєстрацію речових прав на нерухоме майно та їх обтяжень”, “Про оренду землі”, “Про землеустрій”, “Про Державний земельний кадастр”, Земельного кодексу України </w:t>
            </w:r>
            <w:r w:rsidRPr="00195464">
              <w:rPr>
                <w:rFonts w:ascii="Times New Roman" w:eastAsia="Times New Roman" w:hAnsi="Times New Roman" w:cs="Times New Roman"/>
                <w:kern w:val="1"/>
                <w:sz w:val="26"/>
                <w:szCs w:val="26"/>
                <w:lang w:eastAsia="ru-RU" w:bidi="hi-IN"/>
              </w:rPr>
              <w:br/>
            </w:r>
          </w:p>
          <w:p w14:paraId="51B82BFB" w14:textId="77777777" w:rsidR="005F6D10" w:rsidRPr="00195464" w:rsidRDefault="005F6D10" w:rsidP="005F6D10">
            <w:pPr>
              <w:shd w:val="clear" w:color="auto" w:fill="FFFFFF"/>
              <w:spacing w:after="0" w:line="240" w:lineRule="auto"/>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супроводження у Верховній Раді України законопроекту </w:t>
            </w:r>
            <w:r w:rsidRPr="00195464">
              <w:rPr>
                <w:rFonts w:ascii="Times New Roman" w:eastAsia="Times New Roman" w:hAnsi="Times New Roman" w:cs="Times New Roman"/>
                <w:kern w:val="1"/>
                <w:sz w:val="26"/>
                <w:szCs w:val="26"/>
                <w:lang w:eastAsia="ru-RU" w:bidi="hi-IN"/>
              </w:rPr>
              <w:br/>
            </w:r>
          </w:p>
          <w:p w14:paraId="217C10EE" w14:textId="77777777" w:rsidR="005F6D10" w:rsidRPr="00195464" w:rsidRDefault="005F6D10" w:rsidP="005F6D10">
            <w:pPr>
              <w:shd w:val="clear" w:color="auto" w:fill="FFFFFF"/>
              <w:spacing w:after="0" w:line="240" w:lineRule="auto"/>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внесення змін до Кодексу систем розподілу шляхом прийняття відповідної постанови НКРЕКП</w:t>
            </w:r>
          </w:p>
        </w:tc>
        <w:tc>
          <w:tcPr>
            <w:tcW w:w="1984" w:type="dxa"/>
            <w:shd w:val="clear" w:color="auto" w:fill="auto"/>
          </w:tcPr>
          <w:p w14:paraId="2FA23EA6"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Мінекоенерго </w:t>
            </w:r>
          </w:p>
          <w:p w14:paraId="7E4A2504"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7D7B0BED"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74857E80"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4052FAFF"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4A73E446"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5B0930E3"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0AA55E0B"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05157CDA"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24637B28"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17787DB5"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047B49DF"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08CD9D92"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5322AE4C"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748585A7"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41655506"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677B9CAC"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0C3655FE"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1B8DAD25"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25381CF0"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74BAFB60"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444A8A0F"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7A9F48C6"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4BB7C047"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63583071"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49475849"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5112BE50"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Мінекоенерго</w:t>
            </w:r>
          </w:p>
          <w:p w14:paraId="571BDC14"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62D6BD03"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631DFC72"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kern w:val="1"/>
                <w:sz w:val="26"/>
                <w:szCs w:val="26"/>
                <w:lang w:eastAsia="ru-RU" w:bidi="hi-IN"/>
              </w:rPr>
            </w:pPr>
          </w:p>
          <w:p w14:paraId="106A91E2" w14:textId="77777777" w:rsidR="005F6D10" w:rsidRPr="00195464" w:rsidRDefault="005F6D10" w:rsidP="005F6D10">
            <w:pPr>
              <w:shd w:val="clear" w:color="auto" w:fill="FFFFFF"/>
              <w:spacing w:line="240" w:lineRule="auto"/>
              <w:jc w:val="center"/>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Мінекоенерго НКРЕКП (за згодою)</w:t>
            </w:r>
          </w:p>
        </w:tc>
        <w:tc>
          <w:tcPr>
            <w:tcW w:w="1560" w:type="dxa"/>
            <w:shd w:val="clear" w:color="auto" w:fill="FFFFFF"/>
          </w:tcPr>
          <w:p w14:paraId="636B573A" w14:textId="77777777" w:rsidR="005F6D10" w:rsidRPr="00195464" w:rsidRDefault="005F6D10" w:rsidP="005F6D10">
            <w:pPr>
              <w:shd w:val="clear" w:color="auto" w:fill="FFFFFF"/>
              <w:suppressAutoHyphens/>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II квартал 2020 р. </w:t>
            </w:r>
          </w:p>
          <w:p w14:paraId="27FE3AE4"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F26091B"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1382733"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7244B9EC"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19D903D"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24B35798"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0F34171F"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C67BCE1"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12C5DB8F"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4B84ABEE"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3BC49F08"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0115BA05"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398E0990"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1911B88D"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7E1B2FE"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089C95D7"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7A2D0B3B"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2D14C421"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10B4FCD5"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0A543EDD"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CFC62B3"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96352A1"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265D004"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26EA0804"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7B423DC4"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до прийняття закону </w:t>
            </w:r>
          </w:p>
          <w:p w14:paraId="374890E0"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75EAA0D6"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ru-RU" w:bidi="hi-IN"/>
              </w:rPr>
            </w:pPr>
            <w:r w:rsidRPr="00195464">
              <w:rPr>
                <w:rFonts w:ascii="Times New Roman" w:eastAsia="Calibri" w:hAnsi="Times New Roman" w:cs="Times New Roman"/>
                <w:sz w:val="26"/>
                <w:szCs w:val="26"/>
              </w:rPr>
              <w:t>після прийняття закону</w:t>
            </w:r>
          </w:p>
        </w:tc>
        <w:tc>
          <w:tcPr>
            <w:tcW w:w="5528" w:type="dxa"/>
          </w:tcPr>
          <w:p w14:paraId="45292C2D"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b/>
                <w:bCs/>
                <w:color w:val="000000"/>
                <w:sz w:val="26"/>
                <w:szCs w:val="26"/>
                <w:shd w:val="clear" w:color="auto" w:fill="FFFFFF"/>
                <w:lang w:eastAsia="ru-RU"/>
              </w:rPr>
            </w:pPr>
            <w:r w:rsidRPr="00195464">
              <w:rPr>
                <w:rFonts w:ascii="Times New Roman" w:eastAsia="Times New Roman" w:hAnsi="Times New Roman" w:cs="Times New Roman"/>
                <w:b/>
                <w:bCs/>
                <w:color w:val="000000"/>
                <w:sz w:val="26"/>
                <w:szCs w:val="26"/>
                <w:shd w:val="clear" w:color="auto" w:fill="FFFFFF"/>
                <w:lang w:eastAsia="ru-RU"/>
              </w:rPr>
              <w:t>Виконано частково.</w:t>
            </w:r>
          </w:p>
          <w:p w14:paraId="57908CB1"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r w:rsidRPr="00195464">
              <w:rPr>
                <w:rFonts w:ascii="Times New Roman" w:eastAsia="Times New Roman" w:hAnsi="Times New Roman" w:cs="Times New Roman"/>
                <w:color w:val="000000"/>
                <w:sz w:val="26"/>
                <w:szCs w:val="26"/>
                <w:shd w:val="clear" w:color="auto" w:fill="FFFFFF"/>
                <w:lang w:eastAsia="ru-RU"/>
              </w:rPr>
              <w:t>Мінекоенерго було розроблено проект Закону України “Про внесення змін до Закону України “Про ринок електричної енергії” (далі – Законопроект та Закон, відповідно), який був схвалений на засіданні Уряду 19.02.2020, доопрацьований та листом від 13.03.2020 № КМ/1.1-4.4-6440 поданий до Кабінету Міністрів України. Однак 11.03.2020 рішення щодо схвалення Законопроекту було скасовано.</w:t>
            </w:r>
          </w:p>
          <w:p w14:paraId="5F72540A"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bCs/>
                <w:color w:val="000000"/>
                <w:sz w:val="26"/>
                <w:szCs w:val="26"/>
                <w:shd w:val="clear" w:color="auto" w:fill="FFFFFF"/>
                <w:lang w:eastAsia="ru-RU"/>
              </w:rPr>
            </w:pPr>
            <w:r w:rsidRPr="00195464">
              <w:rPr>
                <w:rFonts w:ascii="Times New Roman" w:eastAsia="Times New Roman" w:hAnsi="Times New Roman" w:cs="Times New Roman"/>
                <w:bCs/>
                <w:color w:val="000000"/>
                <w:sz w:val="26"/>
                <w:szCs w:val="26"/>
                <w:shd w:val="clear" w:color="auto" w:fill="FFFFFF"/>
                <w:lang w:eastAsia="ru-RU"/>
              </w:rPr>
              <w:t xml:space="preserve">НКРЕКП </w:t>
            </w:r>
            <w:r w:rsidRPr="00195464">
              <w:rPr>
                <w:rFonts w:ascii="Times New Roman" w:eastAsia="Times New Roman" w:hAnsi="Times New Roman" w:cs="Times New Roman"/>
                <w:b/>
                <w:color w:val="000000"/>
                <w:sz w:val="26"/>
                <w:szCs w:val="26"/>
                <w:shd w:val="clear" w:color="auto" w:fill="FFFFFF"/>
                <w:lang w:eastAsia="ru-RU"/>
              </w:rPr>
              <w:t>прийнято постанову від 24.06.2020 № 1209</w:t>
            </w:r>
            <w:r w:rsidRPr="00195464">
              <w:rPr>
                <w:rFonts w:ascii="Times New Roman" w:eastAsia="Times New Roman" w:hAnsi="Times New Roman" w:cs="Times New Roman"/>
                <w:bCs/>
                <w:color w:val="000000"/>
                <w:sz w:val="26"/>
                <w:szCs w:val="26"/>
                <w:shd w:val="clear" w:color="auto" w:fill="FFFFFF"/>
                <w:lang w:eastAsia="ru-RU"/>
              </w:rPr>
              <w:t xml:space="preserve"> “Про затвердження Змін до Кодексу систем розподілу” (далі – Постанова 1209 та Кодекс, відповідно), якою удосконалено норми Кодексу, затвердженого постановою НКРЕКП від 14.03.2018 № 310 (зі змінами), в частині детального врегулювання питань між операторами систем розподілу та оператором системи передачі (далі - ОСР та ОСП) та суміжними операторами у випадку необхідності реконструкції електричних мереж суміжного оператора, а саме, визначено, на яких договірних умовах замовник матиме можливість отримати послугу з приєднання електроустановок у випадку необхідності реконструкції електричних мереж ОСП та/або інших суб’єктів господарювання.</w:t>
            </w:r>
          </w:p>
          <w:p w14:paraId="400EF97F" w14:textId="38605966"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r w:rsidRPr="00195464">
              <w:rPr>
                <w:rFonts w:ascii="Times New Roman" w:eastAsia="Times New Roman" w:hAnsi="Times New Roman" w:cs="Times New Roman"/>
                <w:bCs/>
                <w:color w:val="000000"/>
                <w:sz w:val="26"/>
                <w:szCs w:val="26"/>
                <w:shd w:val="clear" w:color="auto" w:fill="FFFFFF"/>
                <w:lang w:eastAsia="ru-RU"/>
              </w:rPr>
              <w:t xml:space="preserve">Постановою 1209 </w:t>
            </w:r>
            <w:r w:rsidRPr="00195464">
              <w:rPr>
                <w:rFonts w:ascii="Times New Roman" w:eastAsia="Times New Roman" w:hAnsi="Times New Roman" w:cs="Times New Roman"/>
                <w:color w:val="000000"/>
                <w:sz w:val="26"/>
                <w:szCs w:val="26"/>
                <w:shd w:val="clear" w:color="auto" w:fill="FFFFFF"/>
                <w:lang w:eastAsia="ru-RU"/>
              </w:rPr>
              <w:t xml:space="preserve">пункт 4.9.2 глави 4.9 розділу ІV Кодексу викладено в новій редакції: “ОСР має забезпечити роботу сервісу “Особистий кабінет замовника” на власному офіційному </w:t>
            </w:r>
            <w:r w:rsidR="00B75F2E" w:rsidRPr="00195464">
              <w:rPr>
                <w:rFonts w:ascii="Times New Roman" w:eastAsia="Times New Roman" w:hAnsi="Times New Roman" w:cs="Times New Roman"/>
                <w:color w:val="000000"/>
                <w:sz w:val="26"/>
                <w:szCs w:val="26"/>
                <w:shd w:val="clear" w:color="auto" w:fill="FFFFFF"/>
                <w:lang w:eastAsia="ru-RU"/>
              </w:rPr>
              <w:t>веб-сайті</w:t>
            </w:r>
            <w:r w:rsidRPr="00195464">
              <w:rPr>
                <w:rFonts w:ascii="Times New Roman" w:eastAsia="Times New Roman" w:hAnsi="Times New Roman" w:cs="Times New Roman"/>
                <w:color w:val="000000"/>
                <w:sz w:val="26"/>
                <w:szCs w:val="26"/>
                <w:shd w:val="clear" w:color="auto" w:fill="FFFFFF"/>
                <w:lang w:eastAsia="ru-RU"/>
              </w:rPr>
              <w:t xml:space="preserve"> ОСР у мережі Інтернет.</w:t>
            </w:r>
          </w:p>
          <w:p w14:paraId="19864C43"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bookmarkStart w:id="2" w:name="n1872"/>
            <w:bookmarkEnd w:id="2"/>
            <w:r w:rsidRPr="00195464">
              <w:rPr>
                <w:rFonts w:ascii="Times New Roman" w:eastAsia="Times New Roman" w:hAnsi="Times New Roman" w:cs="Times New Roman"/>
                <w:color w:val="000000"/>
                <w:sz w:val="26"/>
                <w:szCs w:val="26"/>
                <w:shd w:val="clear" w:color="auto" w:fill="FFFFFF"/>
                <w:lang w:eastAsia="ru-RU"/>
              </w:rPr>
              <w:t>Сервіс “Особистий кабінет замовника” є ресурсом, який має забезпечити інформування замовника про стан надання ОСР послуги з приєднання та забезпечити відображення інформації про поточний стан виконання (виконано/ на виконанні) відповідних організаційних та технічних заходів, які здійснюються ОСР для надання послуги з приєднання замовнику (проектування та здійснення заходів щодо відведення земельних ділянок для розміщення відповідних об’єктів електроенергетики (у разі необхідності), погодження проектної документації з іншими заінтересованими сторонами, отримання дозволу на виконання будівельно-монтажних робіт, дата початку та орієнтовна дата завершення проведення тендерних процедур з метою придбання обладнання та матеріалів для виконання будівельно-монтажних робіт, виготовлення та поставка обладнання та матеріалів, виконання будівельно-монтажних робіт, пусконалагоджувальних та випробувальних робіт та підключення електроустановок (об’єкта) замовника тощо), із зазначенням очікуваних та граничних термінів їх виконання.</w:t>
            </w:r>
          </w:p>
          <w:p w14:paraId="502878FC"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bookmarkStart w:id="3" w:name="n1873"/>
            <w:bookmarkEnd w:id="3"/>
            <w:r w:rsidRPr="00195464">
              <w:rPr>
                <w:rFonts w:ascii="Times New Roman" w:eastAsia="Times New Roman" w:hAnsi="Times New Roman" w:cs="Times New Roman"/>
                <w:color w:val="000000"/>
                <w:sz w:val="26"/>
                <w:szCs w:val="26"/>
                <w:shd w:val="clear" w:color="auto" w:fill="FFFFFF"/>
                <w:lang w:eastAsia="ru-RU"/>
              </w:rPr>
              <w:t xml:space="preserve">Сервіс “Особистий кабінет замовника” </w:t>
            </w:r>
            <w:r w:rsidRPr="00195464">
              <w:rPr>
                <w:rFonts w:ascii="Times New Roman" w:eastAsia="Times New Roman" w:hAnsi="Times New Roman" w:cs="Times New Roman"/>
                <w:color w:val="000000"/>
                <w:sz w:val="26"/>
                <w:szCs w:val="26"/>
                <w:u w:val="single"/>
                <w:shd w:val="clear" w:color="auto" w:fill="FFFFFF"/>
                <w:lang w:eastAsia="ru-RU"/>
              </w:rPr>
              <w:t>має забезпечувати можливість</w:t>
            </w:r>
            <w:r w:rsidRPr="00195464">
              <w:rPr>
                <w:rFonts w:ascii="Times New Roman" w:eastAsia="Times New Roman" w:hAnsi="Times New Roman" w:cs="Times New Roman"/>
                <w:color w:val="000000"/>
                <w:sz w:val="26"/>
                <w:szCs w:val="26"/>
                <w:shd w:val="clear" w:color="auto" w:fill="FFFFFF"/>
                <w:lang w:eastAsia="ru-RU"/>
              </w:rPr>
              <w:t>:</w:t>
            </w:r>
          </w:p>
          <w:p w14:paraId="3BB642CC"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bookmarkStart w:id="4" w:name="n1874"/>
            <w:bookmarkEnd w:id="4"/>
            <w:r w:rsidRPr="00195464">
              <w:rPr>
                <w:rFonts w:ascii="Times New Roman" w:eastAsia="Times New Roman" w:hAnsi="Times New Roman" w:cs="Times New Roman"/>
                <w:color w:val="000000"/>
                <w:sz w:val="26"/>
                <w:szCs w:val="26"/>
                <w:shd w:val="clear" w:color="auto" w:fill="FFFFFF"/>
                <w:lang w:eastAsia="ru-RU"/>
              </w:rPr>
              <w:t>- подання в електронному вигляді заяви про приєднання та додатків, передбачених цим Кодексом (з можливістю використання кваліфікованого електронного підпису);</w:t>
            </w:r>
          </w:p>
          <w:p w14:paraId="5A2D717C"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bookmarkStart w:id="5" w:name="n1875"/>
            <w:bookmarkEnd w:id="5"/>
            <w:r w:rsidRPr="00195464">
              <w:rPr>
                <w:rFonts w:ascii="Times New Roman" w:eastAsia="Times New Roman" w:hAnsi="Times New Roman" w:cs="Times New Roman"/>
                <w:color w:val="000000"/>
                <w:sz w:val="26"/>
                <w:szCs w:val="26"/>
                <w:shd w:val="clear" w:color="auto" w:fill="FFFFFF"/>
                <w:lang w:eastAsia="ru-RU"/>
              </w:rPr>
              <w:t>- підписання договору про приєднання електроустановок до електричних мереж та технічних умов на приєднання кваліфікованим електронним підписом;</w:t>
            </w:r>
          </w:p>
          <w:p w14:paraId="1C679909"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bookmarkStart w:id="6" w:name="n1876"/>
            <w:bookmarkEnd w:id="6"/>
            <w:r w:rsidRPr="00195464">
              <w:rPr>
                <w:rFonts w:ascii="Times New Roman" w:eastAsia="Times New Roman" w:hAnsi="Times New Roman" w:cs="Times New Roman"/>
                <w:color w:val="000000"/>
                <w:sz w:val="26"/>
                <w:szCs w:val="26"/>
                <w:shd w:val="clear" w:color="auto" w:fill="FFFFFF"/>
                <w:lang w:eastAsia="ru-RU"/>
              </w:rPr>
              <w:t>- отримання рахунка на сплату плати за приєднання;</w:t>
            </w:r>
          </w:p>
          <w:p w14:paraId="4D66B2D4"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bookmarkStart w:id="7" w:name="n1877"/>
            <w:bookmarkEnd w:id="7"/>
            <w:r w:rsidRPr="00195464">
              <w:rPr>
                <w:rFonts w:ascii="Times New Roman" w:eastAsia="Times New Roman" w:hAnsi="Times New Roman" w:cs="Times New Roman"/>
                <w:color w:val="000000"/>
                <w:sz w:val="26"/>
                <w:szCs w:val="26"/>
                <w:shd w:val="clear" w:color="auto" w:fill="FFFFFF"/>
                <w:lang w:eastAsia="ru-RU"/>
              </w:rPr>
              <w:t>- відображення інформації щодо оплати замовником послуги з приєднання;</w:t>
            </w:r>
          </w:p>
          <w:p w14:paraId="77E75092"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bookmarkStart w:id="8" w:name="n1878"/>
            <w:bookmarkEnd w:id="8"/>
            <w:r w:rsidRPr="00195464">
              <w:rPr>
                <w:rFonts w:ascii="Times New Roman" w:eastAsia="Times New Roman" w:hAnsi="Times New Roman" w:cs="Times New Roman"/>
                <w:color w:val="000000"/>
                <w:sz w:val="26"/>
                <w:szCs w:val="26"/>
                <w:shd w:val="clear" w:color="auto" w:fill="FFFFFF"/>
                <w:lang w:eastAsia="ru-RU"/>
              </w:rPr>
              <w:t>- отримання та підписання акта надання/ отримання послуги з приєднання кваліфікованим електронним підписом;</w:t>
            </w:r>
          </w:p>
          <w:p w14:paraId="000ADDEA"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bookmarkStart w:id="9" w:name="n1879"/>
            <w:bookmarkEnd w:id="9"/>
            <w:r w:rsidRPr="00195464">
              <w:rPr>
                <w:rFonts w:ascii="Times New Roman" w:eastAsia="Times New Roman" w:hAnsi="Times New Roman" w:cs="Times New Roman"/>
                <w:color w:val="000000"/>
                <w:sz w:val="26"/>
                <w:szCs w:val="26"/>
                <w:shd w:val="clear" w:color="auto" w:fill="FFFFFF"/>
                <w:lang w:eastAsia="ru-RU"/>
              </w:rPr>
              <w:t>- підписання договору про надання послуг з розподілу електричної енергії кваліфікованим електронним підписом;</w:t>
            </w:r>
          </w:p>
          <w:p w14:paraId="3BF00AA3"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bookmarkStart w:id="10" w:name="n1880"/>
            <w:bookmarkEnd w:id="10"/>
            <w:r w:rsidRPr="00195464">
              <w:rPr>
                <w:rFonts w:ascii="Times New Roman" w:eastAsia="Times New Roman" w:hAnsi="Times New Roman" w:cs="Times New Roman"/>
                <w:color w:val="000000"/>
                <w:sz w:val="26"/>
                <w:szCs w:val="26"/>
                <w:shd w:val="clear" w:color="auto" w:fill="FFFFFF"/>
                <w:lang w:eastAsia="ru-RU"/>
              </w:rPr>
              <w:t>- подання в електронному вигляді заяви про підключення.</w:t>
            </w:r>
          </w:p>
          <w:p w14:paraId="02D4E4A3" w14:textId="77777777"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shd w:val="clear" w:color="auto" w:fill="FFFFFF"/>
                <w:lang w:eastAsia="ru-RU"/>
              </w:rPr>
            </w:pPr>
            <w:bookmarkStart w:id="11" w:name="n1881"/>
            <w:bookmarkEnd w:id="11"/>
            <w:r w:rsidRPr="00195464">
              <w:rPr>
                <w:rFonts w:ascii="Times New Roman" w:eastAsia="Times New Roman" w:hAnsi="Times New Roman" w:cs="Times New Roman"/>
                <w:color w:val="000000"/>
                <w:sz w:val="26"/>
                <w:szCs w:val="26"/>
                <w:shd w:val="clear" w:color="auto" w:fill="FFFFFF"/>
                <w:lang w:eastAsia="ru-RU"/>
              </w:rPr>
              <w:t>За зверненням замовника послуги з приєднання (у тому числі електронним) ОСР має надати запитувану інформацію щодо приєднання в запропонованому замовником вигляді.”.</w:t>
            </w:r>
          </w:p>
          <w:p w14:paraId="3C540507" w14:textId="37B71F9F" w:rsidR="005F6D10" w:rsidRPr="00195464" w:rsidRDefault="005F6D10" w:rsidP="005F6D10">
            <w:pPr>
              <w:tabs>
                <w:tab w:val="left" w:pos="709"/>
              </w:tabs>
              <w:spacing w:after="0" w:line="240" w:lineRule="auto"/>
              <w:ind w:firstLine="176"/>
              <w:jc w:val="both"/>
              <w:rPr>
                <w:rFonts w:ascii="Times New Roman" w:eastAsia="Times New Roman" w:hAnsi="Times New Roman" w:cs="Times New Roman"/>
                <w:color w:val="000000"/>
                <w:sz w:val="26"/>
                <w:szCs w:val="26"/>
                <w:u w:val="single"/>
                <w:shd w:val="clear" w:color="auto" w:fill="FFFFFF"/>
                <w:lang w:eastAsia="ru-RU"/>
              </w:rPr>
            </w:pPr>
            <w:r w:rsidRPr="00195464">
              <w:rPr>
                <w:rFonts w:ascii="Times New Roman" w:eastAsia="Times New Roman" w:hAnsi="Times New Roman" w:cs="Times New Roman"/>
                <w:color w:val="000000"/>
                <w:sz w:val="26"/>
                <w:szCs w:val="26"/>
                <w:shd w:val="clear" w:color="auto" w:fill="FFFFFF"/>
                <w:lang w:eastAsia="ru-RU"/>
              </w:rPr>
              <w:t xml:space="preserve">Водночас, </w:t>
            </w:r>
            <w:r w:rsidRPr="00195464">
              <w:rPr>
                <w:rFonts w:ascii="Times New Roman" w:eastAsia="Times New Roman" w:hAnsi="Times New Roman" w:cs="Times New Roman"/>
                <w:color w:val="000000"/>
                <w:sz w:val="26"/>
                <w:szCs w:val="26"/>
                <w:u w:val="single"/>
                <w:shd w:val="clear" w:color="auto" w:fill="FFFFFF"/>
                <w:lang w:eastAsia="ru-RU"/>
              </w:rPr>
              <w:t xml:space="preserve">особистий кабінет замовника на офіційному </w:t>
            </w:r>
            <w:r w:rsidR="00227E74" w:rsidRPr="00195464">
              <w:rPr>
                <w:rFonts w:ascii="Times New Roman" w:eastAsia="Times New Roman" w:hAnsi="Times New Roman" w:cs="Times New Roman"/>
                <w:color w:val="000000"/>
                <w:sz w:val="26"/>
                <w:szCs w:val="26"/>
                <w:u w:val="single"/>
                <w:shd w:val="clear" w:color="auto" w:fill="FFFFFF"/>
                <w:lang w:eastAsia="ru-RU"/>
              </w:rPr>
              <w:t>веб-сайті</w:t>
            </w:r>
            <w:r w:rsidRPr="00195464">
              <w:rPr>
                <w:rFonts w:ascii="Times New Roman" w:eastAsia="Times New Roman" w:hAnsi="Times New Roman" w:cs="Times New Roman"/>
                <w:color w:val="000000"/>
                <w:sz w:val="26"/>
                <w:szCs w:val="26"/>
                <w:u w:val="single"/>
                <w:shd w:val="clear" w:color="auto" w:fill="FFFFFF"/>
                <w:lang w:eastAsia="ru-RU"/>
              </w:rPr>
              <w:t xml:space="preserve"> ОСР в мережі Інтернет є виключно інформаційним ресурсом для замовника.</w:t>
            </w:r>
          </w:p>
          <w:p w14:paraId="7E519FC7" w14:textId="77777777" w:rsidR="005F6D10" w:rsidRPr="00195464" w:rsidRDefault="005F6D10" w:rsidP="005F6D10">
            <w:pPr>
              <w:spacing w:after="0" w:line="240" w:lineRule="auto"/>
              <w:ind w:firstLine="176"/>
              <w:jc w:val="both"/>
              <w:rPr>
                <w:rFonts w:ascii="Times New Roman" w:eastAsia="Times New Roman" w:hAnsi="Times New Roman" w:cs="Times New Roman"/>
                <w:sz w:val="26"/>
                <w:szCs w:val="26"/>
                <w:lang w:eastAsia="ru-RU"/>
              </w:rPr>
            </w:pPr>
            <w:r w:rsidRPr="00195464">
              <w:rPr>
                <w:rFonts w:ascii="Times New Roman" w:eastAsia="Times New Roman" w:hAnsi="Times New Roman" w:cs="Times New Roman"/>
                <w:b/>
                <w:bCs/>
                <w:sz w:val="26"/>
                <w:szCs w:val="26"/>
                <w:lang w:eastAsia="ru-RU"/>
              </w:rPr>
              <w:t>Наказом НКРЕКП від  15.09.2020 № 32</w:t>
            </w:r>
            <w:r w:rsidRPr="00195464">
              <w:rPr>
                <w:rFonts w:ascii="Times New Roman" w:eastAsia="Times New Roman" w:hAnsi="Times New Roman" w:cs="Times New Roman"/>
                <w:sz w:val="26"/>
                <w:szCs w:val="26"/>
                <w:lang w:eastAsia="ru-RU"/>
              </w:rPr>
              <w:t xml:space="preserve"> створено Робочу групу з опрацювання питань, які виникають під час надання/ отримання послуги з приєднання електроустановок до електромереж.</w:t>
            </w:r>
          </w:p>
          <w:p w14:paraId="1C6B9C04" w14:textId="77777777" w:rsidR="005F6D10" w:rsidRPr="00195464" w:rsidRDefault="005F6D10" w:rsidP="005F6D10">
            <w:pPr>
              <w:spacing w:after="0" w:line="240" w:lineRule="auto"/>
              <w:ind w:firstLine="176"/>
              <w:jc w:val="both"/>
              <w:rPr>
                <w:rFonts w:ascii="Times New Roman" w:eastAsia="Calibri" w:hAnsi="Times New Roman" w:cs="Times New Roman"/>
                <w:bCs/>
                <w:sz w:val="26"/>
                <w:szCs w:val="26"/>
              </w:rPr>
            </w:pPr>
            <w:r w:rsidRPr="00195464">
              <w:rPr>
                <w:rFonts w:ascii="Times New Roman" w:eastAsia="Times New Roman" w:hAnsi="Times New Roman" w:cs="Times New Roman"/>
                <w:sz w:val="26"/>
                <w:szCs w:val="26"/>
                <w:lang w:eastAsia="ru-RU"/>
              </w:rPr>
              <w:t xml:space="preserve">З метою спрощення приєднання споживачів до електромереж та реалізації ініціатив ГО “Офіс простих рішень та результатів” та Національної ради з питань реформ, на засіданні НКРЕКП, що проводилося у формі відкритого слухання, 21.10.2020 було схвалено та 28.10.2020 оприлюднено на офіційному сайті НКРЕКП </w:t>
            </w:r>
            <w:r w:rsidRPr="00195464">
              <w:rPr>
                <w:rFonts w:ascii="Times New Roman" w:eastAsia="Times New Roman" w:hAnsi="Times New Roman" w:cs="Times New Roman"/>
                <w:i/>
                <w:iCs/>
                <w:sz w:val="26"/>
                <w:szCs w:val="26"/>
                <w:lang w:eastAsia="ru-RU"/>
              </w:rPr>
              <w:t>проект постанови НКРЕКП “Про затвердження Змін до Кодексу систем розподілу”</w:t>
            </w:r>
            <w:r w:rsidRPr="00195464">
              <w:rPr>
                <w:rFonts w:ascii="Times New Roman" w:eastAsia="Times New Roman" w:hAnsi="Times New Roman" w:cs="Times New Roman"/>
                <w:sz w:val="26"/>
                <w:szCs w:val="26"/>
                <w:lang w:eastAsia="ru-RU"/>
              </w:rPr>
              <w:t>, яким передбачається визначити договори про стандартне/нестандартне приєднання до електромереж оператором системи розподілу як публічні договори, змінити (оптимізувати) перелік документів, які додаються до заяви про приєднання, встановити порядок приєднання індустріальних парків, а також зобов’язання ОСР на своєму офіційному сайті максимально інформувати замовників щодо питань надання послуг з приєднання до електромереж (опис процедури отримання послуги з приєднання, порядок розрахунку вартості послуги, форми зразків заяв, договорів, адреси (фактичні, поштові, електронні), номери телефонів, за якими можливе звернення та листування Замовника, посилання на електронний кабінет, листи-роз’яснення НКРЕКП).</w:t>
            </w:r>
          </w:p>
        </w:tc>
      </w:tr>
      <w:tr w:rsidR="005F6D10" w:rsidRPr="00195464" w14:paraId="0254F562" w14:textId="77777777" w:rsidTr="005F6D10">
        <w:tc>
          <w:tcPr>
            <w:tcW w:w="993" w:type="dxa"/>
            <w:shd w:val="clear" w:color="auto" w:fill="auto"/>
          </w:tcPr>
          <w:p w14:paraId="12606CD2"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9.</w:t>
            </w:r>
          </w:p>
        </w:tc>
        <w:tc>
          <w:tcPr>
            <w:tcW w:w="2835" w:type="dxa"/>
            <w:shd w:val="clear" w:color="auto" w:fill="auto"/>
          </w:tcPr>
          <w:p w14:paraId="183B7481"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Удосконалення процесу відведення землі під лінійні об’єкти енергетичної інфраструктури, зокрема: введення понять “лінійні об’єкти енергетичної інфраструктури”, “будівництво в межах червоних ліній”; спрощення процедури надання дозволу на будівництво на земельній ділянці, що належить замовнику (до зміни цільового призначення); розміщення лінійних об’єктів енергетичної інфраструктури на земельних ділянках усіх категорій земель без зміни їх цільового призначення, в тому числі за договорами сервітуту, укладеними з власниками або землекористувачем, зокрема постійними користувачами або орендарями земельних ділянок; проектування, будівництво і введення в експлуатацію об’єктів енергетичної інфраструктури, що розміщуються на земельних ділянках, які належать власнику, з подальшим обов’язковим вирішенням земельних питань (зміна цільового призначення) протягом 1,5 року; збереження дії земельного сервітуту у разі переходу прав на земельну ділянку або права власності на лінійний об’єкт енергетичної інфраструктури до іншої особи, а також у разі зміни осіб, на користь яких встановлено сервітут; зазначення спеціальних зон об’єктів енергетики в обов’язковому порядку у схемах землеустрою; реконструкція, реставрація або капітальний ремонт лінійних об’єктів енергетичної інфраструктури без зміни зовнішніх геометричних розмірів без набуття права власності чи користування на земельну ділянку; нове будівництво лінійних об’єктів енергетичної інфраструктури в межах населених пунктів та за їх межами відповідно до містобудівної документації (генерального плану міста, детального плану території, плану розвитку мереж тощо) на відповідних землях державної чи комунальної власності без права власності на земельну ділянку з подальшим його оформленням у відповідний строк</w:t>
            </w:r>
          </w:p>
        </w:tc>
        <w:tc>
          <w:tcPr>
            <w:tcW w:w="2835" w:type="dxa"/>
            <w:shd w:val="clear" w:color="auto" w:fill="auto"/>
          </w:tcPr>
          <w:p w14:paraId="3BF145E4"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розроблення та подання на розгляд Кабінету Міністрів України законопроекту про внесення змін до Законів України “Про землі енергетики та правовий режим спеціальних зон енергетичних об’єктів”, “Про оренду землі”, “Про землеустрій”, “Про Державний земельний кадастр”, Земельного кодексу України </w:t>
            </w:r>
          </w:p>
          <w:p w14:paraId="32130B2E" w14:textId="77777777" w:rsidR="005F6D10" w:rsidRPr="00195464" w:rsidRDefault="005F6D10" w:rsidP="005F6D10">
            <w:pPr>
              <w:shd w:val="clear" w:color="auto" w:fill="FFFFFF"/>
              <w:spacing w:after="0" w:line="240" w:lineRule="auto"/>
              <w:rPr>
                <w:rFonts w:ascii="Times New Roman" w:eastAsia="Calibri" w:hAnsi="Times New Roman" w:cs="Times New Roman"/>
                <w:sz w:val="26"/>
                <w:szCs w:val="26"/>
              </w:rPr>
            </w:pPr>
          </w:p>
          <w:p w14:paraId="1FA0A4E7" w14:textId="77777777" w:rsidR="005F6D10" w:rsidRPr="00195464" w:rsidRDefault="005F6D10" w:rsidP="005F6D10">
            <w:pPr>
              <w:shd w:val="clear" w:color="auto" w:fill="FFFFFF"/>
              <w:spacing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супроводження у Верховній Раді України законопроекту</w:t>
            </w:r>
          </w:p>
        </w:tc>
        <w:tc>
          <w:tcPr>
            <w:tcW w:w="1984" w:type="dxa"/>
            <w:shd w:val="clear" w:color="auto" w:fill="auto"/>
          </w:tcPr>
          <w:p w14:paraId="70E2E671" w14:textId="77777777" w:rsidR="005F6D10" w:rsidRPr="00195464" w:rsidRDefault="005F6D10" w:rsidP="005F6D10">
            <w:pPr>
              <w:shd w:val="clear" w:color="auto" w:fill="FFFFFF"/>
              <w:spacing w:before="60" w:after="0" w:line="36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Мінекоенерго </w:t>
            </w:r>
          </w:p>
          <w:p w14:paraId="4BAF638D" w14:textId="77777777" w:rsidR="005F6D10" w:rsidRPr="00195464" w:rsidRDefault="005F6D10" w:rsidP="005F6D10">
            <w:pPr>
              <w:shd w:val="clear" w:color="auto" w:fill="FFFFFF"/>
              <w:spacing w:after="0" w:line="240" w:lineRule="auto"/>
              <w:jc w:val="center"/>
              <w:rPr>
                <w:rFonts w:ascii="Times New Roman" w:eastAsia="Calibri" w:hAnsi="Times New Roman" w:cs="Times New Roman"/>
                <w:sz w:val="26"/>
                <w:szCs w:val="26"/>
              </w:rPr>
            </w:pPr>
          </w:p>
        </w:tc>
        <w:tc>
          <w:tcPr>
            <w:tcW w:w="1560" w:type="dxa"/>
            <w:shd w:val="clear" w:color="auto" w:fill="FFFFFF"/>
          </w:tcPr>
          <w:p w14:paraId="228B04A5" w14:textId="77777777" w:rsidR="005F6D10" w:rsidRPr="00195464" w:rsidRDefault="005F6D10" w:rsidP="005F6D10">
            <w:pPr>
              <w:shd w:val="clear" w:color="auto" w:fill="FFFFFF"/>
              <w:suppressAutoHyphens/>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II квартал 2020 р. </w:t>
            </w:r>
          </w:p>
          <w:p w14:paraId="4A3E0169"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47C90052"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051E2834"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70F90145"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1BB29E9E"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2E7BD244"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F3E3D63"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71C5F220"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1E6BCCB"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1BE5ABAA"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4F74C28"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2E318B99"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3DC54A18"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54B84891"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3CC4D850"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66AB55A5"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ru-RU" w:bidi="hi-IN"/>
              </w:rPr>
            </w:pPr>
            <w:r w:rsidRPr="00195464">
              <w:rPr>
                <w:rFonts w:ascii="Times New Roman" w:eastAsia="Calibri" w:hAnsi="Times New Roman" w:cs="Times New Roman"/>
                <w:sz w:val="26"/>
                <w:szCs w:val="26"/>
              </w:rPr>
              <w:t>до прийняття закону</w:t>
            </w:r>
          </w:p>
        </w:tc>
        <w:tc>
          <w:tcPr>
            <w:tcW w:w="5528" w:type="dxa"/>
            <w:shd w:val="clear" w:color="auto" w:fill="auto"/>
          </w:tcPr>
          <w:p w14:paraId="560179F3" w14:textId="77777777" w:rsidR="005F6D10" w:rsidRPr="00195464" w:rsidRDefault="005F6D10" w:rsidP="005F6D10">
            <w:pPr>
              <w:shd w:val="clear" w:color="auto" w:fill="FFFFFF"/>
              <w:suppressAutoHyphens/>
              <w:spacing w:before="60" w:after="0" w:line="240" w:lineRule="auto"/>
              <w:ind w:firstLine="176"/>
              <w:jc w:val="both"/>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На розгляді ВРУ.</w:t>
            </w:r>
          </w:p>
          <w:p w14:paraId="11B04568"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Верховною Радою України 14.11.2019 прийнято у першому читанні проект Закону України “Про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 (реєстр. № 2194 від  01.10.2019), яким зокрема пропонується спростити порядок відведення земельних ділянок та погодження документації із землеустрою.</w:t>
            </w:r>
          </w:p>
          <w:p w14:paraId="3263705D"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02.12.2020 не прийнято у другому читанні та в цілому. Готується на повторне друге читання.</w:t>
            </w:r>
          </w:p>
          <w:p w14:paraId="2BDA6180" w14:textId="77777777" w:rsidR="005F6D10" w:rsidRPr="00195464" w:rsidRDefault="005F6D10" w:rsidP="005F6D10">
            <w:pPr>
              <w:tabs>
                <w:tab w:val="left" w:pos="1134"/>
              </w:tabs>
              <w:spacing w:before="60" w:after="0" w:line="240" w:lineRule="auto"/>
              <w:ind w:firstLine="176"/>
              <w:jc w:val="both"/>
              <w:rPr>
                <w:rFonts w:ascii="Times New Roman" w:eastAsia="Calibri" w:hAnsi="Times New Roman" w:cs="Times New Roman"/>
                <w:color w:val="000000"/>
                <w:sz w:val="26"/>
                <w:szCs w:val="26"/>
              </w:rPr>
            </w:pPr>
            <w:r w:rsidRPr="00195464">
              <w:rPr>
                <w:rFonts w:ascii="Times New Roman" w:eastAsia="Calibri" w:hAnsi="Times New Roman" w:cs="Times New Roman"/>
                <w:bCs/>
                <w:iCs/>
                <w:color w:val="000000"/>
                <w:sz w:val="26"/>
                <w:szCs w:val="26"/>
              </w:rPr>
              <w:t>З</w:t>
            </w:r>
            <w:r w:rsidRPr="00195464">
              <w:rPr>
                <w:rFonts w:ascii="Times New Roman" w:eastAsia="Calibri" w:hAnsi="Times New Roman" w:cs="Times New Roman"/>
                <w:bCs/>
                <w:sz w:val="26"/>
                <w:szCs w:val="26"/>
              </w:rPr>
              <w:t xml:space="preserve"> метою запровадження законодавчого механізму максимального спрощення порядку відведення земельних ділянок для об’єктів енергетики, Міненерго, на підставі пропозицій операторів систем розподілу, розроблено </w:t>
            </w:r>
            <w:r w:rsidRPr="00195464">
              <w:rPr>
                <w:rFonts w:ascii="Times New Roman" w:eastAsia="Calibri" w:hAnsi="Times New Roman" w:cs="Times New Roman"/>
                <w:color w:val="000000"/>
                <w:sz w:val="26"/>
                <w:szCs w:val="26"/>
              </w:rPr>
              <w:t xml:space="preserve">проект Закону України “Про внесення змін до деяких законодавчих актів України щодо удосконалення процедури користування земельними ділянками під об’єктами енергетики” (далі – Законопроект). Законопроектом </w:t>
            </w:r>
            <w:r w:rsidRPr="00195464">
              <w:rPr>
                <w:rFonts w:ascii="Times New Roman" w:eastAsia="Times New Roman" w:hAnsi="Times New Roman" w:cs="Times New Roman"/>
                <w:kern w:val="1"/>
                <w:sz w:val="26"/>
                <w:szCs w:val="26"/>
                <w:lang w:eastAsia="ru-RU" w:bidi="hi-IN"/>
              </w:rPr>
              <w:t>передбачено внесення змін до Законів України: “Про регулювання містобудівної діяльності”, Земельного кодексу України, Закону України “Про землеустрій”, Закону України “Про землі енергетики” в частині визначення лінійного об’єкту енергетичної інфраструктури, оптимізації процедури та термінів розміщення лінійних об’єктів енергетичної інфраструктури та доповнення чинного законодавства нормами, що направлені на скорочення термінів надання послуг з приєднання, а також зменшення об’ємів землевпорядних робіт та затрат пов’язаних з ними.</w:t>
            </w:r>
          </w:p>
          <w:p w14:paraId="73DB2A70"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Наразі готується для подання на розгляд Кабінету Міністрів України в установленому порядку.</w:t>
            </w:r>
          </w:p>
          <w:p w14:paraId="39F7FAB5"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ru-RU" w:bidi="hi-IN"/>
              </w:rPr>
            </w:pPr>
          </w:p>
          <w:p w14:paraId="7959BA82"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hi-IN" w:bidi="hi-IN"/>
              </w:rPr>
            </w:pPr>
          </w:p>
        </w:tc>
      </w:tr>
      <w:tr w:rsidR="005F6D10" w:rsidRPr="00195464" w14:paraId="2AB4A741" w14:textId="77777777" w:rsidTr="005F6D10">
        <w:tc>
          <w:tcPr>
            <w:tcW w:w="993" w:type="dxa"/>
            <w:shd w:val="clear" w:color="auto" w:fill="auto"/>
          </w:tcPr>
          <w:p w14:paraId="1056504D"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10.</w:t>
            </w:r>
          </w:p>
        </w:tc>
        <w:tc>
          <w:tcPr>
            <w:tcW w:w="2835" w:type="dxa"/>
            <w:shd w:val="clear" w:color="auto" w:fill="auto"/>
          </w:tcPr>
          <w:p w14:paraId="5A534715"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Посилення відповідальності розподільних компаній за невиконання вимог Закону України “Про ринок електричної енергії”</w:t>
            </w:r>
          </w:p>
        </w:tc>
        <w:tc>
          <w:tcPr>
            <w:tcW w:w="2835" w:type="dxa"/>
            <w:shd w:val="clear" w:color="auto" w:fill="auto"/>
          </w:tcPr>
          <w:p w14:paraId="47DAC872" w14:textId="77777777" w:rsidR="005F6D10" w:rsidRPr="00195464" w:rsidRDefault="005F6D10" w:rsidP="005F6D10">
            <w:pPr>
              <w:shd w:val="clear" w:color="auto" w:fill="FFFFFF"/>
              <w:spacing w:before="60" w:after="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розроблення та подання на розгляд Кабінету Міністрів України законопроекту щодо внесення змін до Закону України “Про ринок електричної енергії” </w:t>
            </w:r>
          </w:p>
          <w:p w14:paraId="2F4892C2" w14:textId="77777777" w:rsidR="005F6D10" w:rsidRPr="00195464" w:rsidRDefault="005F6D10" w:rsidP="005F6D10">
            <w:pPr>
              <w:shd w:val="clear" w:color="auto" w:fill="FFFFFF"/>
              <w:spacing w:before="60" w:line="240" w:lineRule="auto"/>
              <w:rPr>
                <w:rFonts w:ascii="Times New Roman" w:eastAsia="Calibri" w:hAnsi="Times New Roman" w:cs="Times New Roman"/>
                <w:sz w:val="26"/>
                <w:szCs w:val="26"/>
              </w:rPr>
            </w:pPr>
            <w:r w:rsidRPr="00195464">
              <w:rPr>
                <w:rFonts w:ascii="Times New Roman" w:eastAsia="Calibri" w:hAnsi="Times New Roman" w:cs="Times New Roman"/>
                <w:sz w:val="26"/>
                <w:szCs w:val="26"/>
              </w:rPr>
              <w:t>супроводження у Верховній Раді України законопроекту</w:t>
            </w:r>
          </w:p>
        </w:tc>
        <w:tc>
          <w:tcPr>
            <w:tcW w:w="1984" w:type="dxa"/>
            <w:shd w:val="clear" w:color="auto" w:fill="auto"/>
          </w:tcPr>
          <w:p w14:paraId="0E32F20C" w14:textId="77777777" w:rsidR="005F6D10" w:rsidRPr="00195464" w:rsidRDefault="005F6D10" w:rsidP="005F6D10">
            <w:pPr>
              <w:shd w:val="clear" w:color="auto" w:fill="FFFFFF"/>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Мінекоенерго </w:t>
            </w:r>
          </w:p>
          <w:p w14:paraId="537C7A78" w14:textId="77777777" w:rsidR="005F6D10" w:rsidRPr="00195464" w:rsidRDefault="005F6D10" w:rsidP="005F6D10">
            <w:pPr>
              <w:shd w:val="clear" w:color="auto" w:fill="FFFFFF"/>
              <w:spacing w:before="60" w:after="0" w:line="240" w:lineRule="auto"/>
              <w:jc w:val="center"/>
              <w:rPr>
                <w:rFonts w:ascii="Times New Roman" w:eastAsia="Calibri" w:hAnsi="Times New Roman" w:cs="Times New Roman"/>
                <w:sz w:val="26"/>
                <w:szCs w:val="26"/>
              </w:rPr>
            </w:pPr>
          </w:p>
        </w:tc>
        <w:tc>
          <w:tcPr>
            <w:tcW w:w="1560" w:type="dxa"/>
            <w:shd w:val="clear" w:color="auto" w:fill="FFFFFF"/>
          </w:tcPr>
          <w:p w14:paraId="69732BB4" w14:textId="77777777" w:rsidR="005F6D10" w:rsidRPr="00195464" w:rsidRDefault="005F6D10" w:rsidP="005F6D10">
            <w:pPr>
              <w:shd w:val="clear" w:color="auto" w:fill="FFFFFF"/>
              <w:suppressAutoHyphens/>
              <w:spacing w:before="60" w:after="0" w:line="240" w:lineRule="auto"/>
              <w:jc w:val="center"/>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II квартал 2020 р. </w:t>
            </w:r>
          </w:p>
          <w:p w14:paraId="026077A1"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49DA09CB"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4CB69454"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1365345C"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2C9658BB"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1ED6D753" w14:textId="77777777" w:rsidR="005F6D10" w:rsidRPr="00195464" w:rsidRDefault="005F6D10" w:rsidP="005F6D10">
            <w:pPr>
              <w:shd w:val="clear" w:color="auto" w:fill="FFFFFF"/>
              <w:suppressAutoHyphens/>
              <w:spacing w:after="0" w:line="240" w:lineRule="auto"/>
              <w:jc w:val="center"/>
              <w:rPr>
                <w:rFonts w:ascii="Times New Roman" w:eastAsia="Calibri" w:hAnsi="Times New Roman" w:cs="Times New Roman"/>
                <w:sz w:val="26"/>
                <w:szCs w:val="26"/>
              </w:rPr>
            </w:pPr>
          </w:p>
          <w:p w14:paraId="330F5961"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ru-RU" w:bidi="hi-IN"/>
              </w:rPr>
            </w:pPr>
            <w:r w:rsidRPr="00195464">
              <w:rPr>
                <w:rFonts w:ascii="Times New Roman" w:eastAsia="Calibri" w:hAnsi="Times New Roman" w:cs="Times New Roman"/>
                <w:sz w:val="26"/>
                <w:szCs w:val="26"/>
              </w:rPr>
              <w:t>до прийняття закону</w:t>
            </w:r>
          </w:p>
        </w:tc>
        <w:tc>
          <w:tcPr>
            <w:tcW w:w="5528" w:type="dxa"/>
            <w:shd w:val="clear" w:color="auto" w:fill="auto"/>
          </w:tcPr>
          <w:p w14:paraId="6EE4A9FD" w14:textId="77777777" w:rsidR="005F6D10" w:rsidRPr="00195464" w:rsidRDefault="005F6D10" w:rsidP="005F6D10">
            <w:pPr>
              <w:shd w:val="clear" w:color="auto" w:fill="FFFFFF"/>
              <w:suppressAutoHyphens/>
              <w:spacing w:before="60" w:after="0" w:line="240" w:lineRule="auto"/>
              <w:ind w:firstLine="176"/>
              <w:jc w:val="both"/>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Виконується.</w:t>
            </w:r>
          </w:p>
          <w:p w14:paraId="555A4140"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З метою посилення відповідальності ОСР та ОСП, а також створення умов для зниження кількості необґрунтованих відмов та збільшення підключень до електричних мереж постановою Кабінету Міністрів України від  23.10.2019 № 932 “Деякі питання посилення контролю за дотриманням законодавства щодо приєднання до електричних мереж” передбачено внесення змін в Положення про Державну інспекцію енергетичного нагляду України в частині проведення Держенергонаглядом моніторингу та здійснення контролю за розглядом спірних питань щодо приєднання електричних установок замовників до електричних мереж за принципом “єдиного вікна”.</w:t>
            </w:r>
          </w:p>
          <w:p w14:paraId="02861549"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На сьогодні, </w:t>
            </w:r>
            <w:r w:rsidRPr="00195464">
              <w:rPr>
                <w:rFonts w:ascii="Times New Roman" w:eastAsia="Calibri" w:hAnsi="Times New Roman" w:cs="Times New Roman"/>
                <w:b/>
                <w:bCs/>
                <w:sz w:val="26"/>
                <w:szCs w:val="26"/>
              </w:rPr>
              <w:t>на офіційному сайті Держенергонагляду розміщено єдину форму подачі скарги зі спірних питань щодо приєднання електричних установок замовників до електричних мереж операторів</w:t>
            </w:r>
            <w:r w:rsidRPr="00195464">
              <w:rPr>
                <w:rFonts w:ascii="Times New Roman" w:eastAsia="Calibri" w:hAnsi="Times New Roman" w:cs="Times New Roman"/>
                <w:sz w:val="26"/>
                <w:szCs w:val="26"/>
              </w:rPr>
              <w:t>, якою мають змогу користуватися заявники (у разі виникнення спірних питань) до моменту офіційного запровадження електронного кабінету замовника за принципом “єдиного вікна”.</w:t>
            </w:r>
          </w:p>
          <w:p w14:paraId="6CEB4D9C"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Таким чином оптимізовано державний контроль за вирішенням спірних питань щодо приєднання електричних установок замовників до електричних мереж операторів та забезпечено посилення відповідальності розподільних компаній за невиконання вимог Закону України “Про ринок електричної енергії” та підзаконних нормативно-правових актів в частині приєднання електричних установок замовників до електричних мереж. </w:t>
            </w:r>
          </w:p>
          <w:p w14:paraId="1A0D4D71"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b/>
                <w:bCs/>
                <w:sz w:val="26"/>
                <w:szCs w:val="26"/>
              </w:rPr>
              <w:t>Зокрема, в електронному кабінеті, що розробляється, буде передбачено можливість розгляду наступних питань</w:t>
            </w:r>
            <w:r w:rsidRPr="00195464">
              <w:rPr>
                <w:rFonts w:ascii="Times New Roman" w:eastAsia="Calibri" w:hAnsi="Times New Roman" w:cs="Times New Roman"/>
                <w:sz w:val="26"/>
                <w:szCs w:val="26"/>
              </w:rPr>
              <w:t>:</w:t>
            </w:r>
          </w:p>
          <w:p w14:paraId="0B60A485"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відмова оператора системи розподілу в прийнятті заяви про приєднання до системи розподілу;</w:t>
            </w:r>
          </w:p>
          <w:p w14:paraId="15944C33"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порушенням ОСР строку розробки та надання замовникам договорів про приєднання та технічних умов;</w:t>
            </w:r>
          </w:p>
          <w:p w14:paraId="753BF7BF"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видачі технічних умов, які не задовольняють замовника;</w:t>
            </w:r>
          </w:p>
          <w:p w14:paraId="189C5592"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непогодження ОСР проектної документації, розробленої сторонньою проектною організацією для замовника;</w:t>
            </w:r>
          </w:p>
          <w:p w14:paraId="408B8D31"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недотримання строків виконання робіт з приєднання, які обумовлені договорами;</w:t>
            </w:r>
          </w:p>
          <w:p w14:paraId="44B471C2"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невідповідність змонтованого електрообладнання та мереж вимогам, які зазначені у проекті;</w:t>
            </w:r>
          </w:p>
          <w:p w14:paraId="597CFAF6" w14:textId="77777777" w:rsidR="005F6D10" w:rsidRPr="00195464" w:rsidRDefault="005F6D10" w:rsidP="005F6D10">
            <w:pPr>
              <w:shd w:val="clear" w:color="auto" w:fill="FFFFFF"/>
              <w:suppressAutoHyphens/>
              <w:spacing w:after="0" w:line="240" w:lineRule="auto"/>
              <w:ind w:firstLine="176"/>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w:t>
            </w:r>
            <w:proofErr w:type="spellStart"/>
            <w:r w:rsidRPr="00195464">
              <w:rPr>
                <w:rFonts w:ascii="Times New Roman" w:eastAsia="Calibri" w:hAnsi="Times New Roman" w:cs="Times New Roman"/>
                <w:sz w:val="26"/>
                <w:szCs w:val="26"/>
              </w:rPr>
              <w:t>непідписання</w:t>
            </w:r>
            <w:proofErr w:type="spellEnd"/>
            <w:r w:rsidRPr="00195464">
              <w:rPr>
                <w:rFonts w:ascii="Times New Roman" w:eastAsia="Calibri" w:hAnsi="Times New Roman" w:cs="Times New Roman"/>
                <w:sz w:val="26"/>
                <w:szCs w:val="26"/>
              </w:rPr>
              <w:t xml:space="preserve"> </w:t>
            </w:r>
            <w:proofErr w:type="spellStart"/>
            <w:r w:rsidRPr="00195464">
              <w:rPr>
                <w:rFonts w:ascii="Times New Roman" w:eastAsia="Calibri" w:hAnsi="Times New Roman" w:cs="Times New Roman"/>
                <w:sz w:val="26"/>
                <w:szCs w:val="26"/>
              </w:rPr>
              <w:t>електропостачальником</w:t>
            </w:r>
            <w:proofErr w:type="spellEnd"/>
            <w:r w:rsidRPr="00195464">
              <w:rPr>
                <w:rFonts w:ascii="Times New Roman" w:eastAsia="Calibri" w:hAnsi="Times New Roman" w:cs="Times New Roman"/>
                <w:sz w:val="26"/>
                <w:szCs w:val="26"/>
              </w:rPr>
              <w:t xml:space="preserve"> і ОСР договорів на електропостачання з мешканцями будинку та ОСББ з причини неповної реалізації технічних умов виданих замовнику (забудовнику житлового комплексу).</w:t>
            </w:r>
          </w:p>
        </w:tc>
      </w:tr>
      <w:tr w:rsidR="005F6D10" w:rsidRPr="00195464" w14:paraId="4AB746A5" w14:textId="77777777" w:rsidTr="005F6D10">
        <w:tc>
          <w:tcPr>
            <w:tcW w:w="15735" w:type="dxa"/>
            <w:gridSpan w:val="6"/>
            <w:shd w:val="clear" w:color="auto" w:fill="auto"/>
          </w:tcPr>
          <w:p w14:paraId="6F813410" w14:textId="77777777" w:rsidR="005F6D10" w:rsidRPr="00195464" w:rsidRDefault="005F6D10" w:rsidP="005F6D10">
            <w:pPr>
              <w:shd w:val="clear" w:color="auto" w:fill="FFFFFF"/>
              <w:suppressAutoHyphens/>
              <w:spacing w:before="60" w:after="0" w:line="240" w:lineRule="auto"/>
              <w:ind w:firstLine="176"/>
              <w:jc w:val="center"/>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Реєстрація власності</w:t>
            </w:r>
          </w:p>
        </w:tc>
      </w:tr>
      <w:tr w:rsidR="005F6D10" w:rsidRPr="00195464" w14:paraId="4455AFB4" w14:textId="77777777" w:rsidTr="005F6D10">
        <w:tc>
          <w:tcPr>
            <w:tcW w:w="993" w:type="dxa"/>
            <w:shd w:val="clear" w:color="auto" w:fill="auto"/>
          </w:tcPr>
          <w:p w14:paraId="741DF317"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11.</w:t>
            </w:r>
          </w:p>
        </w:tc>
        <w:tc>
          <w:tcPr>
            <w:tcW w:w="2835" w:type="dxa"/>
            <w:shd w:val="clear" w:color="auto" w:fill="auto"/>
          </w:tcPr>
          <w:p w14:paraId="3C03C0AD"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Запровадження включення до Державного земельного кадастру просторових даних, метаданих та сервісів, їх оприлюднення, інша діяльність з якими та надання доступу до яких здійснюються в Інтернеті</w:t>
            </w:r>
          </w:p>
        </w:tc>
        <w:tc>
          <w:tcPr>
            <w:tcW w:w="2835" w:type="dxa"/>
            <w:shd w:val="clear" w:color="auto" w:fill="auto"/>
          </w:tcPr>
          <w:p w14:paraId="7703887B"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супроводження у Верховній Раді України проекту Закону України “Про національну інфраструктуру просторових даних” (реєстраційний номер 2370)</w:t>
            </w:r>
          </w:p>
        </w:tc>
        <w:tc>
          <w:tcPr>
            <w:tcW w:w="1984" w:type="dxa"/>
            <w:shd w:val="clear" w:color="auto" w:fill="auto"/>
          </w:tcPr>
          <w:p w14:paraId="5D97DC81"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Мінекономіки </w:t>
            </w:r>
          </w:p>
        </w:tc>
        <w:tc>
          <w:tcPr>
            <w:tcW w:w="1560" w:type="dxa"/>
            <w:shd w:val="clear" w:color="auto" w:fill="FFFFFF"/>
          </w:tcPr>
          <w:p w14:paraId="25F32A97"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до прийняття закону</w:t>
            </w:r>
          </w:p>
        </w:tc>
        <w:tc>
          <w:tcPr>
            <w:tcW w:w="5528" w:type="dxa"/>
            <w:shd w:val="clear" w:color="auto" w:fill="auto"/>
          </w:tcPr>
          <w:p w14:paraId="7CB5A1A4" w14:textId="77777777" w:rsidR="005F6D10" w:rsidRPr="00195464" w:rsidRDefault="005F6D10" w:rsidP="005F6D10">
            <w:pPr>
              <w:keepNext/>
              <w:shd w:val="clear" w:color="auto" w:fill="FFFFFF"/>
              <w:suppressAutoHyphens/>
              <w:spacing w:before="60" w:after="0" w:line="240" w:lineRule="auto"/>
              <w:ind w:firstLine="176"/>
              <w:jc w:val="both"/>
              <w:outlineLvl w:val="2"/>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Виконано.</w:t>
            </w:r>
          </w:p>
          <w:p w14:paraId="5F071905"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b/>
                <w:bCs/>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13.04.2020 </w:t>
            </w:r>
            <w:r w:rsidRPr="00195464">
              <w:rPr>
                <w:rFonts w:ascii="Times New Roman" w:eastAsia="Times New Roman" w:hAnsi="Times New Roman" w:cs="Times New Roman"/>
                <w:b/>
                <w:bCs/>
                <w:kern w:val="1"/>
                <w:sz w:val="26"/>
                <w:szCs w:val="26"/>
                <w:lang w:eastAsia="ru-RU" w:bidi="hi-IN"/>
              </w:rPr>
              <w:t>прийнято Закон України № 554-IX “Про національну інфраструктуру геопросторових даних”.</w:t>
            </w:r>
          </w:p>
          <w:p w14:paraId="2E57CC2E"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p>
          <w:p w14:paraId="7940C1BF"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p>
        </w:tc>
      </w:tr>
      <w:tr w:rsidR="005F6D10" w:rsidRPr="00195464" w14:paraId="36E06B7C" w14:textId="77777777" w:rsidTr="005F6D10">
        <w:tc>
          <w:tcPr>
            <w:tcW w:w="993" w:type="dxa"/>
            <w:shd w:val="clear" w:color="auto" w:fill="auto"/>
          </w:tcPr>
          <w:p w14:paraId="264254D9"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12.</w:t>
            </w:r>
          </w:p>
        </w:tc>
        <w:tc>
          <w:tcPr>
            <w:tcW w:w="2835" w:type="dxa"/>
            <w:shd w:val="clear" w:color="auto" w:fill="auto"/>
          </w:tcPr>
          <w:p w14:paraId="59BDD51C"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Запровадження ідентифікації об’єкта нерухомого майна</w:t>
            </w:r>
          </w:p>
        </w:tc>
        <w:tc>
          <w:tcPr>
            <w:tcW w:w="2835" w:type="dxa"/>
            <w:shd w:val="clear" w:color="auto" w:fill="auto"/>
          </w:tcPr>
          <w:p w14:paraId="62A56990"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розроблення та подання на розгляд Кабінету Міністрів України законопроекту щодо створення та функціонування адресного реєстру</w:t>
            </w:r>
          </w:p>
          <w:p w14:paraId="7ECFA3B5"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p>
          <w:p w14:paraId="7EC85441"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супроводження у Верховній Раді України законопроекту</w:t>
            </w:r>
          </w:p>
        </w:tc>
        <w:tc>
          <w:tcPr>
            <w:tcW w:w="1984" w:type="dxa"/>
            <w:shd w:val="clear" w:color="auto" w:fill="auto"/>
          </w:tcPr>
          <w:p w14:paraId="66554B68"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Мін’юст </w:t>
            </w:r>
          </w:p>
          <w:p w14:paraId="713AB01E"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tc>
        <w:tc>
          <w:tcPr>
            <w:tcW w:w="1560" w:type="dxa"/>
            <w:shd w:val="clear" w:color="auto" w:fill="FFFFFF"/>
          </w:tcPr>
          <w:p w14:paraId="738358D8"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II квартал 2020 р.</w:t>
            </w:r>
          </w:p>
          <w:p w14:paraId="10F450AE"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07C7E095"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19FF5E8A"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74DAA6A0"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033747CF"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7ACA7117"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43617598"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до прийняття закону</w:t>
            </w:r>
          </w:p>
        </w:tc>
        <w:tc>
          <w:tcPr>
            <w:tcW w:w="5528" w:type="dxa"/>
            <w:shd w:val="clear" w:color="auto" w:fill="auto"/>
          </w:tcPr>
          <w:p w14:paraId="0CE92AE7" w14:textId="77777777" w:rsidR="005F6D10" w:rsidRPr="00195464" w:rsidRDefault="005F6D10" w:rsidP="005F6D10">
            <w:pPr>
              <w:shd w:val="clear" w:color="auto" w:fill="FFFFFF"/>
              <w:suppressAutoHyphens/>
              <w:spacing w:before="60" w:after="0" w:line="240" w:lineRule="auto"/>
              <w:ind w:firstLine="176"/>
              <w:jc w:val="both"/>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Виконується.</w:t>
            </w:r>
          </w:p>
          <w:p w14:paraId="681F9BDC"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З огляду на доцільність запровадження в Україні єдиної геоінформаційної системи, яка забезпечить збирання, обробку, зберігання та використання інформації, необхідної для ефективної діяльності органів державної влади та місцевого самоврядування, Міністерством юстиції України спільно з Офісом ефективного регулювання BRDO розроблено Концепцію Єдиного державного адресного реєстру. Наступним етапом мало стати законодавче регулювання запровадження Єдиного державного адресного реєстру України. </w:t>
            </w:r>
          </w:p>
          <w:p w14:paraId="1FAB2CC0"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Проте 13.04.2020 року Верховною Радою України прийнято Закон України № 554-IX “Про національну інфраструктуру геопросторових даних”, яким внесено зміни до Закону України “Про топографо-геодезичну і картографічну діяльність” та передбачено, що ведення Державного адресного реєстру належить до компетенції центрального органу виконавчої влади, що реалізує державну політику у галузі топографо-геодезичної і картографічної діяльності. </w:t>
            </w:r>
          </w:p>
          <w:p w14:paraId="04E095D3"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Calibri" w:hAnsi="Times New Roman" w:cs="Times New Roman"/>
                <w:sz w:val="26"/>
                <w:szCs w:val="26"/>
              </w:rPr>
              <w:t>24.11.2020 на узгоджувальній нараді щодо відповідних питань, яка відбулась між Міністерством юстиції, Міністерством розвитку громад та територій та Міністерством цифрової трансформації, було прийнято рішення, що розробкою проекту Закону України “Про створення Єдиного адресного реєстру України”, а також розробкою та впровадженням функціонування Єдиного адресного реєстру України займатимуться спільно Міністерство розвитку громад та територій, Міністерство цифрової трансформації та Держгеокадастр. Міністерство юстиції, в свою чергу, братиме участь в опрацюванні відповідного проекту Закону протягом всього часу роботи у вказаному напрямку.</w:t>
            </w:r>
          </w:p>
        </w:tc>
      </w:tr>
      <w:tr w:rsidR="005F6D10" w:rsidRPr="00195464" w14:paraId="3B9F1DF0" w14:textId="77777777" w:rsidTr="005F6D10">
        <w:tc>
          <w:tcPr>
            <w:tcW w:w="15735" w:type="dxa"/>
            <w:gridSpan w:val="6"/>
            <w:shd w:val="clear" w:color="auto" w:fill="auto"/>
          </w:tcPr>
          <w:p w14:paraId="5A8857DA" w14:textId="77777777" w:rsidR="005F6D10" w:rsidRPr="00195464" w:rsidRDefault="005F6D10" w:rsidP="005F6D10">
            <w:pPr>
              <w:keepNext/>
              <w:shd w:val="clear" w:color="auto" w:fill="FFFFFF"/>
              <w:suppressAutoHyphens/>
              <w:spacing w:before="60" w:after="0" w:line="240" w:lineRule="auto"/>
              <w:ind w:firstLine="176"/>
              <w:jc w:val="center"/>
              <w:outlineLvl w:val="2"/>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Оподаткування</w:t>
            </w:r>
          </w:p>
        </w:tc>
      </w:tr>
      <w:tr w:rsidR="005F6D10" w:rsidRPr="00195464" w14:paraId="2732D98A" w14:textId="77777777" w:rsidTr="005F6D10">
        <w:tc>
          <w:tcPr>
            <w:tcW w:w="993" w:type="dxa"/>
            <w:shd w:val="clear" w:color="auto" w:fill="auto"/>
          </w:tcPr>
          <w:p w14:paraId="624C4E90"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13.</w:t>
            </w:r>
          </w:p>
        </w:tc>
        <w:tc>
          <w:tcPr>
            <w:tcW w:w="2835" w:type="dxa"/>
            <w:shd w:val="clear" w:color="auto" w:fill="auto"/>
          </w:tcPr>
          <w:p w14:paraId="246EC401"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Зменшення часу платників податків на податкове адміністрування податку на додану вартість шляхом:</w:t>
            </w:r>
          </w:p>
          <w:p w14:paraId="48621E19"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спрощення форми та порядку заповнення податкової звітності з податку на додану вартість; </w:t>
            </w:r>
          </w:p>
          <w:p w14:paraId="772986B6"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удосконалення до форми та реквізитів податкової накладної з податком на додану вартість; </w:t>
            </w:r>
          </w:p>
          <w:p w14:paraId="0F21E7F6"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запровадження якісних критеріїв ризиковості платника податку для забезпечення можливості звітування в режимі реального часу (із покладенням обов’язку щодо перевірки коректності вказаних у податковій звітності даних на контролюючі органи та пришвидшенням відшкодування платникам з меншим ризиком); </w:t>
            </w:r>
          </w:p>
          <w:p w14:paraId="22CC74F4"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визначення прозорих критеріїв ризиковості здійснення операцій, показників, за якими визначається позитивна податкова історія платника податку для зупинення реєстрації податкової накладної/розрахунку коригування в Єдиному реєстрі податкових накладних</w:t>
            </w:r>
          </w:p>
        </w:tc>
        <w:tc>
          <w:tcPr>
            <w:tcW w:w="2835" w:type="dxa"/>
            <w:shd w:val="clear" w:color="auto" w:fill="auto"/>
          </w:tcPr>
          <w:p w14:paraId="18AF6B0B"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внесення змін до наказів Мінфіну від 28 січня 2016 р. </w:t>
            </w:r>
            <w:hyperlink r:id="rId6" w:tgtFrame="_blank" w:history="1">
              <w:r w:rsidRPr="00195464">
                <w:rPr>
                  <w:rFonts w:ascii="Times New Roman" w:eastAsia="Times New Roman" w:hAnsi="Times New Roman" w:cs="Times New Roman"/>
                  <w:sz w:val="26"/>
                  <w:szCs w:val="26"/>
                  <w:lang w:eastAsia="ru-RU"/>
                </w:rPr>
                <w:t>№ 21</w:t>
              </w:r>
            </w:hyperlink>
            <w:r w:rsidRPr="00195464">
              <w:rPr>
                <w:rFonts w:ascii="Times New Roman" w:eastAsia="Times New Roman" w:hAnsi="Times New Roman" w:cs="Times New Roman"/>
                <w:sz w:val="26"/>
                <w:szCs w:val="26"/>
                <w:lang w:eastAsia="ru-RU"/>
              </w:rPr>
              <w:t xml:space="preserve"> і від 1 грудня 2015 р. </w:t>
            </w:r>
            <w:hyperlink r:id="rId7" w:tgtFrame="_blank" w:history="1">
              <w:r w:rsidRPr="00195464">
                <w:rPr>
                  <w:rFonts w:ascii="Times New Roman" w:eastAsia="Times New Roman" w:hAnsi="Times New Roman" w:cs="Times New Roman"/>
                  <w:sz w:val="26"/>
                  <w:szCs w:val="26"/>
                  <w:lang w:eastAsia="ru-RU"/>
                </w:rPr>
                <w:t>№ 1307</w:t>
              </w:r>
            </w:hyperlink>
          </w:p>
          <w:p w14:paraId="1CAA3387"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p>
          <w:p w14:paraId="4887942A"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розроблення та подання на розгляд Кабінету Міністрів постанови Кабінету Міністрів України “Про внесення змін до постанови Кабінету Міністрів України” від  21 лютого 2018 р. № 117”</w:t>
            </w:r>
          </w:p>
          <w:p w14:paraId="144BEC19"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p>
        </w:tc>
        <w:tc>
          <w:tcPr>
            <w:tcW w:w="1984" w:type="dxa"/>
            <w:shd w:val="clear" w:color="auto" w:fill="auto"/>
          </w:tcPr>
          <w:p w14:paraId="3FAD3095"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Мінфін</w:t>
            </w:r>
          </w:p>
        </w:tc>
        <w:tc>
          <w:tcPr>
            <w:tcW w:w="1560" w:type="dxa"/>
            <w:shd w:val="clear" w:color="auto" w:fill="FFFFFF"/>
          </w:tcPr>
          <w:p w14:paraId="722D9220"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II квартал 2020 р.</w:t>
            </w:r>
          </w:p>
        </w:tc>
        <w:tc>
          <w:tcPr>
            <w:tcW w:w="5528" w:type="dxa"/>
            <w:shd w:val="clear" w:color="auto" w:fill="auto"/>
          </w:tcPr>
          <w:p w14:paraId="594BD933" w14:textId="77777777" w:rsidR="005F6D10" w:rsidRPr="00195464" w:rsidRDefault="005F6D10" w:rsidP="005F6D10">
            <w:pPr>
              <w:shd w:val="clear" w:color="auto" w:fill="FFFFFF"/>
              <w:suppressAutoHyphens/>
              <w:spacing w:before="60" w:after="0" w:line="240" w:lineRule="auto"/>
              <w:ind w:firstLine="178"/>
              <w:jc w:val="both"/>
              <w:rPr>
                <w:rFonts w:ascii="Times New Roman" w:eastAsia="Calibri" w:hAnsi="Times New Roman" w:cs="Times New Roman"/>
                <w:b/>
                <w:bCs/>
                <w:sz w:val="26"/>
                <w:szCs w:val="26"/>
              </w:rPr>
            </w:pPr>
            <w:r w:rsidRPr="00195464">
              <w:rPr>
                <w:rFonts w:ascii="Times New Roman" w:eastAsia="Calibri" w:hAnsi="Times New Roman" w:cs="Times New Roman"/>
                <w:b/>
                <w:bCs/>
                <w:sz w:val="26"/>
                <w:szCs w:val="26"/>
              </w:rPr>
              <w:t>Виконано.</w:t>
            </w:r>
          </w:p>
          <w:p w14:paraId="4DD851DE" w14:textId="77777777" w:rsidR="005F6D10" w:rsidRPr="00195464" w:rsidRDefault="005F6D10" w:rsidP="005F6D10">
            <w:pPr>
              <w:shd w:val="clear" w:color="auto" w:fill="FFFFFF"/>
              <w:suppressAutoHyphens/>
              <w:spacing w:after="0" w:line="240" w:lineRule="auto"/>
              <w:ind w:firstLine="178"/>
              <w:jc w:val="both"/>
              <w:rPr>
                <w:rFonts w:ascii="Times New Roman" w:eastAsia="Calibri" w:hAnsi="Times New Roman" w:cs="Times New Roman"/>
                <w:bCs/>
                <w:sz w:val="26"/>
                <w:szCs w:val="26"/>
              </w:rPr>
            </w:pPr>
            <w:r w:rsidRPr="00195464">
              <w:rPr>
                <w:rFonts w:ascii="Times New Roman" w:eastAsia="Calibri" w:hAnsi="Times New Roman" w:cs="Times New Roman"/>
                <w:bCs/>
                <w:sz w:val="26"/>
                <w:szCs w:val="26"/>
              </w:rPr>
              <w:t xml:space="preserve">Видано наказ Міністерства фінансів України від  02.12.2020 № 734 “Про внесення змін до деяких нормативно-правових актів Міністерства фінансів України”, яким вносяться зміни до наказів Міністерства фінансів України від  28.01.2016 </w:t>
            </w:r>
            <w:r w:rsidRPr="00195464">
              <w:rPr>
                <w:rFonts w:ascii="Times New Roman" w:eastAsia="Calibri" w:hAnsi="Times New Roman" w:cs="Times New Roman"/>
                <w:b/>
                <w:bCs/>
                <w:sz w:val="26"/>
                <w:szCs w:val="26"/>
              </w:rPr>
              <w:t>№ 21</w:t>
            </w:r>
            <w:r w:rsidRPr="00195464">
              <w:rPr>
                <w:rFonts w:ascii="Times New Roman" w:eastAsia="Calibri" w:hAnsi="Times New Roman" w:cs="Times New Roman"/>
                <w:bCs/>
                <w:sz w:val="26"/>
                <w:szCs w:val="26"/>
              </w:rPr>
              <w:t xml:space="preserve"> і від  01.12.2015 </w:t>
            </w:r>
            <w:r w:rsidRPr="00195464">
              <w:rPr>
                <w:rFonts w:ascii="Times New Roman" w:eastAsia="Calibri" w:hAnsi="Times New Roman" w:cs="Times New Roman"/>
                <w:b/>
                <w:bCs/>
                <w:sz w:val="26"/>
                <w:szCs w:val="26"/>
              </w:rPr>
              <w:t>№ 1307</w:t>
            </w:r>
            <w:r w:rsidRPr="00195464">
              <w:rPr>
                <w:rFonts w:ascii="Times New Roman" w:eastAsia="Calibri" w:hAnsi="Times New Roman" w:cs="Times New Roman"/>
                <w:bCs/>
                <w:sz w:val="26"/>
                <w:szCs w:val="26"/>
              </w:rPr>
              <w:t>, та передбачено спрощення форми і порядку заповнення податкової звітності з ПДВ (наразі знаходиться на реєстрації в Міністерстві юстиції України).</w:t>
            </w:r>
          </w:p>
          <w:p w14:paraId="7EC99167" w14:textId="77777777" w:rsidR="005F6D10" w:rsidRPr="00195464" w:rsidRDefault="005F6D10" w:rsidP="005F6D10">
            <w:pPr>
              <w:shd w:val="clear" w:color="auto" w:fill="FFFFFF"/>
              <w:suppressAutoHyphens/>
              <w:spacing w:after="0" w:line="240" w:lineRule="auto"/>
              <w:ind w:firstLine="178"/>
              <w:jc w:val="both"/>
              <w:rPr>
                <w:rFonts w:ascii="Times New Roman" w:eastAsia="Calibri" w:hAnsi="Times New Roman" w:cs="Times New Roman"/>
                <w:sz w:val="26"/>
                <w:szCs w:val="26"/>
              </w:rPr>
            </w:pPr>
            <w:r w:rsidRPr="00195464">
              <w:rPr>
                <w:rFonts w:ascii="Times New Roman" w:eastAsia="Calibri" w:hAnsi="Times New Roman" w:cs="Times New Roman"/>
                <w:bCs/>
                <w:sz w:val="26"/>
                <w:szCs w:val="26"/>
              </w:rPr>
              <w:t>З набранням чинності (01.02.2020)</w:t>
            </w:r>
            <w:r w:rsidRPr="00195464">
              <w:rPr>
                <w:rFonts w:ascii="Times New Roman" w:eastAsia="Calibri" w:hAnsi="Times New Roman" w:cs="Times New Roman"/>
                <w:b/>
                <w:bCs/>
                <w:sz w:val="26"/>
                <w:szCs w:val="26"/>
              </w:rPr>
              <w:t xml:space="preserve"> постанови Кабінету Міністрів України від  11.12.2019 № 1165 </w:t>
            </w:r>
            <w:r w:rsidRPr="00195464">
              <w:rPr>
                <w:rFonts w:ascii="Times New Roman" w:eastAsia="Calibri" w:hAnsi="Times New Roman" w:cs="Times New Roman"/>
                <w:bCs/>
                <w:sz w:val="26"/>
                <w:szCs w:val="26"/>
              </w:rPr>
              <w:t>“Про затвердження порядків з питань зупинення реєстрації податкової накладної/ розрахунку коригування в Єдиному реєстрі податкових накладних”</w:t>
            </w:r>
            <w:r w:rsidRPr="00195464">
              <w:rPr>
                <w:rFonts w:ascii="Times New Roman" w:eastAsia="Calibri" w:hAnsi="Times New Roman" w:cs="Times New Roman"/>
                <w:sz w:val="26"/>
                <w:szCs w:val="26"/>
              </w:rPr>
              <w:t xml:space="preserve"> (далі – ПКМУ № 1165) </w:t>
            </w:r>
            <w:r w:rsidRPr="00195464">
              <w:rPr>
                <w:rFonts w:ascii="Times New Roman" w:eastAsia="Calibri" w:hAnsi="Times New Roman" w:cs="Times New Roman"/>
                <w:b/>
                <w:bCs/>
                <w:sz w:val="26"/>
                <w:szCs w:val="26"/>
              </w:rPr>
              <w:t xml:space="preserve">втратила чинність постанова Кабінету Міністрів України від  21.02.2018 № 117 </w:t>
            </w:r>
            <w:r w:rsidRPr="00195464">
              <w:rPr>
                <w:rFonts w:ascii="Times New Roman" w:eastAsia="Calibri" w:hAnsi="Times New Roman" w:cs="Times New Roman"/>
                <w:sz w:val="26"/>
                <w:szCs w:val="26"/>
              </w:rPr>
              <w:t>“Про затвердження порядків з питань зупинення реєстрації податкової накладної/ розрахунку коригування в Єдиному реєстрі податкових накладних” (далі – ПН/РК в ЄРПН).</w:t>
            </w:r>
          </w:p>
          <w:p w14:paraId="15DC21DE" w14:textId="77777777" w:rsidR="005F6D10" w:rsidRPr="00195464" w:rsidRDefault="005F6D10" w:rsidP="005F6D10">
            <w:pPr>
              <w:shd w:val="clear" w:color="auto" w:fill="FFFFFF"/>
              <w:suppressAutoHyphens/>
              <w:spacing w:after="0" w:line="240" w:lineRule="auto"/>
              <w:ind w:firstLine="178"/>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ПКМУ № 1165 удосконалено критерії оцінки ступеня ризиків, а саме: ознаки безумовної реєстрації, критерії ризиковості платника податку, показники, за якими визначається позитивна податкова історія платника податку, та критерії ризиковості здійснення операцій.</w:t>
            </w:r>
          </w:p>
          <w:p w14:paraId="390C0875" w14:textId="77777777" w:rsidR="005F6D10" w:rsidRPr="00195464" w:rsidRDefault="005F6D10" w:rsidP="005F6D10">
            <w:pPr>
              <w:shd w:val="clear" w:color="auto" w:fill="FFFFFF"/>
              <w:suppressAutoHyphens/>
              <w:spacing w:after="0" w:line="240" w:lineRule="auto"/>
              <w:ind w:firstLine="178"/>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Внесено зміни до ознак безумовної реєстрації та показників позитивної податкової історії, у разі відповідності яким не зупиняється реєстрація ПН/РК в ЄРПН, що сприяє стимулюванню дотримання законодавства про працю, в частині офіційного працевлаштування, адже платник податку зацікавлений у своєчасній на повній сплаті ПДВ, інших податків і зборів та ЄСВ.</w:t>
            </w:r>
          </w:p>
          <w:p w14:paraId="1DAD3CEF" w14:textId="77777777" w:rsidR="005F6D10" w:rsidRPr="00195464" w:rsidRDefault="005F6D10" w:rsidP="005F6D10">
            <w:pPr>
              <w:shd w:val="clear" w:color="auto" w:fill="FFFFFF"/>
              <w:suppressAutoHyphens/>
              <w:spacing w:after="0" w:line="240" w:lineRule="auto"/>
              <w:ind w:firstLine="178"/>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Зміни, внесені до критеріїв, за якими проводиться автоматизований моніторинг, спрямовані на упередження фіктивного податкового кредиту несумлінними платниками податку, які підлаштовуються до ознак та показників, за якими здійснюється реєстрація ПН/РК в ЄРПН.</w:t>
            </w:r>
          </w:p>
          <w:p w14:paraId="1A075ACB" w14:textId="77777777" w:rsidR="005F6D10" w:rsidRPr="00195464" w:rsidRDefault="005F6D10" w:rsidP="005F6D10">
            <w:pPr>
              <w:shd w:val="clear" w:color="auto" w:fill="FFFFFF"/>
              <w:suppressAutoHyphens/>
              <w:spacing w:after="0" w:line="240" w:lineRule="auto"/>
              <w:ind w:firstLine="178"/>
              <w:jc w:val="both"/>
              <w:rPr>
                <w:rFonts w:ascii="Times New Roman" w:eastAsia="Calibri" w:hAnsi="Times New Roman" w:cs="Times New Roman"/>
                <w:sz w:val="26"/>
                <w:szCs w:val="26"/>
              </w:rPr>
            </w:pPr>
          </w:p>
        </w:tc>
      </w:tr>
      <w:tr w:rsidR="005F6D10" w:rsidRPr="00195464" w14:paraId="7B4F898A" w14:textId="77777777" w:rsidTr="005F6D10">
        <w:tc>
          <w:tcPr>
            <w:tcW w:w="993" w:type="dxa"/>
            <w:shd w:val="clear" w:color="auto" w:fill="auto"/>
          </w:tcPr>
          <w:p w14:paraId="64D05B06"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14.</w:t>
            </w:r>
          </w:p>
        </w:tc>
        <w:tc>
          <w:tcPr>
            <w:tcW w:w="2835" w:type="dxa"/>
            <w:shd w:val="clear" w:color="auto" w:fill="auto"/>
          </w:tcPr>
          <w:p w14:paraId="2840D17E"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Запровадження подання єдиної звітності з єдиного внеску на загальнообов’язкове державне соціальне страхування та податку на доходи фізичних осіб</w:t>
            </w:r>
          </w:p>
        </w:tc>
        <w:tc>
          <w:tcPr>
            <w:tcW w:w="2835" w:type="dxa"/>
            <w:shd w:val="clear" w:color="auto" w:fill="auto"/>
          </w:tcPr>
          <w:p w14:paraId="59B1A038"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розроблення та прийняття нормативно-правових актів з метою реалізації </w:t>
            </w:r>
            <w:hyperlink r:id="rId8" w:tgtFrame="_blank" w:history="1">
              <w:r w:rsidRPr="00195464">
                <w:rPr>
                  <w:rFonts w:ascii="Times New Roman" w:eastAsia="Times New Roman" w:hAnsi="Times New Roman" w:cs="Times New Roman"/>
                  <w:sz w:val="26"/>
                  <w:szCs w:val="26"/>
                  <w:lang w:eastAsia="ru-RU"/>
                </w:rPr>
                <w:t>Закону України</w:t>
              </w:r>
            </w:hyperlink>
            <w:r w:rsidRPr="00195464">
              <w:rPr>
                <w:rFonts w:ascii="Times New Roman" w:eastAsia="Times New Roman" w:hAnsi="Times New Roman" w:cs="Times New Roman"/>
                <w:sz w:val="26"/>
                <w:szCs w:val="26"/>
                <w:lang w:eastAsia="ru-RU"/>
              </w:rPr>
              <w:t xml:space="preserve">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w:t>
            </w:r>
          </w:p>
        </w:tc>
        <w:tc>
          <w:tcPr>
            <w:tcW w:w="1984" w:type="dxa"/>
            <w:shd w:val="clear" w:color="auto" w:fill="auto"/>
          </w:tcPr>
          <w:p w14:paraId="0E5C6F32"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Мінфін</w:t>
            </w:r>
          </w:p>
        </w:tc>
        <w:tc>
          <w:tcPr>
            <w:tcW w:w="1560" w:type="dxa"/>
            <w:shd w:val="clear" w:color="auto" w:fill="FFFFFF"/>
          </w:tcPr>
          <w:p w14:paraId="0B228565"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IV квартал 2020 р.</w:t>
            </w:r>
          </w:p>
        </w:tc>
        <w:tc>
          <w:tcPr>
            <w:tcW w:w="5528" w:type="dxa"/>
          </w:tcPr>
          <w:p w14:paraId="466417F5" w14:textId="77777777" w:rsidR="005F6D10" w:rsidRPr="00195464" w:rsidRDefault="005F6D10" w:rsidP="005F6D10">
            <w:pPr>
              <w:spacing w:after="0" w:line="240" w:lineRule="auto"/>
              <w:ind w:firstLine="172"/>
              <w:jc w:val="both"/>
              <w:rPr>
                <w:rFonts w:ascii="Times New Roman" w:eastAsia="Calibri" w:hAnsi="Times New Roman" w:cs="Times New Roman"/>
                <w:b/>
                <w:bCs/>
                <w:sz w:val="26"/>
                <w:szCs w:val="26"/>
              </w:rPr>
            </w:pPr>
            <w:r w:rsidRPr="00195464">
              <w:rPr>
                <w:rFonts w:ascii="Times New Roman" w:eastAsia="Calibri" w:hAnsi="Times New Roman" w:cs="Times New Roman"/>
                <w:b/>
                <w:bCs/>
                <w:sz w:val="26"/>
                <w:szCs w:val="26"/>
              </w:rPr>
              <w:t>Виконано.</w:t>
            </w:r>
          </w:p>
          <w:p w14:paraId="08F7E88D" w14:textId="77777777" w:rsidR="005F6D10" w:rsidRPr="00195464" w:rsidRDefault="005F6D10" w:rsidP="005F6D10">
            <w:pPr>
              <w:spacing w:after="0" w:line="240" w:lineRule="auto"/>
              <w:ind w:firstLine="172"/>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З метою забезпечення подання до контролюючих органів єдиної звітності з єдиного внеску та податку на доходи фізичних осіб </w:t>
            </w:r>
            <w:r w:rsidRPr="00195464">
              <w:rPr>
                <w:rFonts w:ascii="Times New Roman" w:eastAsia="Calibri" w:hAnsi="Times New Roman" w:cs="Times New Roman"/>
                <w:b/>
                <w:bCs/>
                <w:sz w:val="26"/>
                <w:szCs w:val="26"/>
              </w:rPr>
              <w:t>Міністерством фінансів України прийнято накази</w:t>
            </w:r>
            <w:r w:rsidRPr="00195464">
              <w:rPr>
                <w:rFonts w:ascii="Times New Roman" w:eastAsia="Calibri" w:hAnsi="Times New Roman" w:cs="Times New Roman"/>
                <w:sz w:val="26"/>
                <w:szCs w:val="26"/>
              </w:rPr>
              <w:t xml:space="preserve"> від:</w:t>
            </w:r>
          </w:p>
          <w:p w14:paraId="29A114D5" w14:textId="77777777" w:rsidR="005F6D10" w:rsidRPr="00195464" w:rsidRDefault="005F6D10" w:rsidP="005F6D10">
            <w:pPr>
              <w:spacing w:after="0" w:line="240" w:lineRule="auto"/>
              <w:ind w:firstLine="172"/>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- 09.12.2020 № 752 “Про внесення змін до наказу Міністерства фінансів України від 19 червня 2015 року № 578” зареєстрований в Міністерстві юстиції України 28.12.2020 за № 1303/35586;</w:t>
            </w:r>
          </w:p>
          <w:p w14:paraId="1B1E40F6" w14:textId="77777777" w:rsidR="001F4025" w:rsidRPr="00195464" w:rsidRDefault="001F4025" w:rsidP="001F4025">
            <w:pPr>
              <w:spacing w:after="0" w:line="240" w:lineRule="auto"/>
              <w:ind w:firstLine="172"/>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- 15.12..2020 № 773 “Про внесення змін до наказу Міністерства фінансів України від 13 січня 2015 року № 4”, зареєстрований в Міністерстві юстиції України 28.12.2020 за № 1304/35587;</w:t>
            </w:r>
          </w:p>
          <w:p w14:paraId="23A8FE48" w14:textId="77777777" w:rsidR="005F6D10" w:rsidRPr="00195464" w:rsidRDefault="005F6D10" w:rsidP="005F6D10">
            <w:pPr>
              <w:spacing w:after="0" w:line="240" w:lineRule="auto"/>
              <w:ind w:firstLine="172"/>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- 17.12.2020 № 783 “Про внесення змін до наказу Міністерства фінансів України від 02 жовтня 2015 року № 859”, зареєстрований в Міністерстві юстиції України 28.12.2020 за № 1295/35578;</w:t>
            </w:r>
          </w:p>
          <w:p w14:paraId="252FCDE6" w14:textId="77777777" w:rsidR="005F6D10" w:rsidRPr="00195464" w:rsidRDefault="005F6D10" w:rsidP="005F6D10">
            <w:pPr>
              <w:spacing w:after="0" w:line="240" w:lineRule="auto"/>
              <w:ind w:firstLine="172"/>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- 21.12.2020 № 790 “Про внесення змін до Інструкції про порядок нарахування і сплату єдиного внеску на загальнообов’язкове державне соціальне страхування, зареєстрований в Міністерстві юстиції України 28.12.2020 за № 1296/35579;</w:t>
            </w:r>
          </w:p>
          <w:p w14:paraId="6F506C16" w14:textId="77777777" w:rsidR="005F6D10" w:rsidRPr="00195464" w:rsidRDefault="005F6D10" w:rsidP="005F6D10">
            <w:pPr>
              <w:shd w:val="clear" w:color="auto" w:fill="FFFFFF"/>
              <w:suppressAutoHyphens/>
              <w:spacing w:after="0" w:line="240" w:lineRule="auto"/>
              <w:ind w:firstLine="172"/>
              <w:jc w:val="both"/>
              <w:rPr>
                <w:rFonts w:ascii="Times New Roman" w:eastAsia="Calibri" w:hAnsi="Times New Roman" w:cs="Times New Roman"/>
                <w:sz w:val="26"/>
                <w:szCs w:val="26"/>
              </w:rPr>
            </w:pPr>
            <w:r w:rsidRPr="00195464">
              <w:rPr>
                <w:rFonts w:ascii="Times New Roman" w:eastAsia="Calibri" w:hAnsi="Times New Roman" w:cs="Times New Roman"/>
                <w:sz w:val="26"/>
                <w:szCs w:val="26"/>
              </w:rPr>
              <w:t>- 28.12.2020 № 814 “Про деякі особливості звітування з єдиного внеску на загальнообов’язкове державне соціальне страхування відповідно до наказу Міністерства фінансів України від 14 квітня 2015 року № 435” (на реєстрації в Міністерстві юстиції України).</w:t>
            </w:r>
          </w:p>
        </w:tc>
      </w:tr>
      <w:tr w:rsidR="005F6D10" w:rsidRPr="00195464" w14:paraId="2758785F" w14:textId="77777777" w:rsidTr="005F6D10">
        <w:tc>
          <w:tcPr>
            <w:tcW w:w="993" w:type="dxa"/>
            <w:shd w:val="clear" w:color="auto" w:fill="auto"/>
          </w:tcPr>
          <w:p w14:paraId="355C7595"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15.</w:t>
            </w:r>
          </w:p>
        </w:tc>
        <w:tc>
          <w:tcPr>
            <w:tcW w:w="2835" w:type="dxa"/>
            <w:shd w:val="clear" w:color="auto" w:fill="auto"/>
          </w:tcPr>
          <w:p w14:paraId="3717B81C"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Запровадження єдиного рахунка для сплати податків та зборів</w:t>
            </w:r>
          </w:p>
        </w:tc>
        <w:tc>
          <w:tcPr>
            <w:tcW w:w="2835" w:type="dxa"/>
            <w:shd w:val="clear" w:color="auto" w:fill="auto"/>
          </w:tcPr>
          <w:p w14:paraId="23FEE1FD"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розроблення та подання Кабінету Міністрів України проекту постанови Кабінету Міністрів України про порядок функціонування єдиного рахунка з метою реалізації Закону України “Про внесення змін до Податкового кодексу України щодо запровадження єдиного рахунка для сплати податків і зборів, єдиного внеску на загальнообов’язкове державне соціальне страхування” </w:t>
            </w:r>
          </w:p>
        </w:tc>
        <w:tc>
          <w:tcPr>
            <w:tcW w:w="1984" w:type="dxa"/>
            <w:shd w:val="clear" w:color="auto" w:fill="auto"/>
          </w:tcPr>
          <w:p w14:paraId="04307C42"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Мінфін</w:t>
            </w:r>
          </w:p>
        </w:tc>
        <w:tc>
          <w:tcPr>
            <w:tcW w:w="1560" w:type="dxa"/>
            <w:shd w:val="clear" w:color="auto" w:fill="FFFFFF"/>
          </w:tcPr>
          <w:p w14:paraId="531B9F2E"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III квартал 2020 р.</w:t>
            </w:r>
          </w:p>
        </w:tc>
        <w:tc>
          <w:tcPr>
            <w:tcW w:w="5528" w:type="dxa"/>
            <w:shd w:val="clear" w:color="auto" w:fill="auto"/>
          </w:tcPr>
          <w:p w14:paraId="65B6922F" w14:textId="77777777" w:rsidR="005F6D10" w:rsidRPr="00195464" w:rsidRDefault="005F6D10" w:rsidP="005F6D10">
            <w:pPr>
              <w:shd w:val="clear" w:color="auto" w:fill="FFFFFF"/>
              <w:suppressAutoHyphens/>
              <w:spacing w:before="60" w:after="0" w:line="240" w:lineRule="auto"/>
              <w:ind w:firstLine="178"/>
              <w:jc w:val="both"/>
              <w:rPr>
                <w:rFonts w:ascii="Times New Roman" w:eastAsia="Calibri" w:hAnsi="Times New Roman" w:cs="Times New Roman"/>
                <w:b/>
                <w:bCs/>
                <w:sz w:val="26"/>
                <w:szCs w:val="26"/>
              </w:rPr>
            </w:pPr>
            <w:r w:rsidRPr="00195464">
              <w:rPr>
                <w:rFonts w:ascii="Times New Roman" w:eastAsia="Calibri" w:hAnsi="Times New Roman" w:cs="Times New Roman"/>
                <w:b/>
                <w:bCs/>
                <w:sz w:val="26"/>
                <w:szCs w:val="26"/>
              </w:rPr>
              <w:t>Виконано.</w:t>
            </w:r>
          </w:p>
          <w:p w14:paraId="2812F330" w14:textId="77777777" w:rsidR="005F6D10" w:rsidRPr="00195464" w:rsidRDefault="005F6D10" w:rsidP="005F6D10">
            <w:pPr>
              <w:keepNext/>
              <w:shd w:val="clear" w:color="auto" w:fill="FFFFFF"/>
              <w:suppressAutoHyphens/>
              <w:spacing w:after="0" w:line="240" w:lineRule="auto"/>
              <w:ind w:firstLine="178"/>
              <w:jc w:val="both"/>
              <w:outlineLvl w:val="2"/>
              <w:rPr>
                <w:rFonts w:ascii="Times New Roman" w:eastAsia="Calibri" w:hAnsi="Times New Roman" w:cs="Times New Roman"/>
                <w:b/>
                <w:bCs/>
                <w:sz w:val="26"/>
                <w:szCs w:val="26"/>
              </w:rPr>
            </w:pPr>
            <w:r w:rsidRPr="00195464">
              <w:rPr>
                <w:rFonts w:ascii="Times New Roman" w:eastAsia="Calibri" w:hAnsi="Times New Roman" w:cs="Times New Roman"/>
                <w:b/>
                <w:bCs/>
                <w:sz w:val="26"/>
                <w:szCs w:val="26"/>
              </w:rPr>
              <w:t>Прийнято постанову Кабінету Міністрів України від  29.04.2020 № 321 “Про затвердження Порядку функціонування єдиного рахунка та виконання норм статті 35-1 Податкового кодексу України центральними органами виконавчої влади”.</w:t>
            </w:r>
          </w:p>
          <w:p w14:paraId="7A08314E" w14:textId="77777777" w:rsidR="005F6D10" w:rsidRPr="00195464" w:rsidRDefault="005F6D10" w:rsidP="005F6D10">
            <w:pPr>
              <w:keepNext/>
              <w:shd w:val="clear" w:color="auto" w:fill="FFFFFF"/>
              <w:suppressAutoHyphens/>
              <w:spacing w:after="0" w:line="240" w:lineRule="auto"/>
              <w:ind w:firstLine="178"/>
              <w:jc w:val="both"/>
              <w:outlineLvl w:val="2"/>
              <w:rPr>
                <w:rFonts w:ascii="Times New Roman" w:eastAsia="Times New Roman" w:hAnsi="Times New Roman" w:cs="Times New Roman"/>
                <w:kern w:val="1"/>
                <w:sz w:val="26"/>
                <w:szCs w:val="26"/>
                <w:lang w:eastAsia="ru-RU" w:bidi="hi-IN"/>
              </w:rPr>
            </w:pPr>
          </w:p>
        </w:tc>
      </w:tr>
      <w:tr w:rsidR="005F6D10" w:rsidRPr="00195464" w14:paraId="31FF3583" w14:textId="77777777" w:rsidTr="005F6D10">
        <w:tc>
          <w:tcPr>
            <w:tcW w:w="15735" w:type="dxa"/>
            <w:gridSpan w:val="6"/>
            <w:shd w:val="clear" w:color="auto" w:fill="auto"/>
          </w:tcPr>
          <w:p w14:paraId="080E91E2" w14:textId="77777777" w:rsidR="005F6D10" w:rsidRPr="00195464" w:rsidRDefault="005F6D10" w:rsidP="005F6D10">
            <w:pPr>
              <w:shd w:val="clear" w:color="auto" w:fill="FFFFFF"/>
              <w:suppressAutoHyphens/>
              <w:spacing w:before="60" w:after="0" w:line="240" w:lineRule="auto"/>
              <w:ind w:firstLine="178"/>
              <w:jc w:val="center"/>
              <w:rPr>
                <w:rFonts w:ascii="Times New Roman" w:eastAsia="Calibri" w:hAnsi="Times New Roman" w:cs="Times New Roman"/>
                <w:b/>
                <w:bCs/>
                <w:sz w:val="26"/>
                <w:szCs w:val="26"/>
              </w:rPr>
            </w:pPr>
            <w:r w:rsidRPr="00195464">
              <w:rPr>
                <w:rFonts w:ascii="Times New Roman" w:eastAsia="Times New Roman" w:hAnsi="Times New Roman" w:cs="Times New Roman"/>
                <w:b/>
                <w:kern w:val="1"/>
                <w:sz w:val="26"/>
                <w:szCs w:val="26"/>
                <w:lang w:eastAsia="ru-RU" w:bidi="hi-IN"/>
              </w:rPr>
              <w:t>Отримання кредитів</w:t>
            </w:r>
          </w:p>
        </w:tc>
      </w:tr>
      <w:tr w:rsidR="005F6D10" w:rsidRPr="00195464" w14:paraId="1EF81EE5" w14:textId="77777777" w:rsidTr="005F6D10">
        <w:tc>
          <w:tcPr>
            <w:tcW w:w="993" w:type="dxa"/>
            <w:shd w:val="clear" w:color="auto" w:fill="auto"/>
          </w:tcPr>
          <w:p w14:paraId="26B4B516"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16.</w:t>
            </w:r>
          </w:p>
        </w:tc>
        <w:tc>
          <w:tcPr>
            <w:tcW w:w="2835" w:type="dxa"/>
            <w:shd w:val="clear" w:color="auto" w:fill="auto"/>
          </w:tcPr>
          <w:p w14:paraId="7D93E64E"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Надання кредитним бюро інформації, яка надходить від підприємств роздрібної торгівлі та організацій, щодо надання комунальних послуг</w:t>
            </w:r>
          </w:p>
        </w:tc>
        <w:tc>
          <w:tcPr>
            <w:tcW w:w="2835" w:type="dxa"/>
            <w:shd w:val="clear" w:color="auto" w:fill="auto"/>
          </w:tcPr>
          <w:p w14:paraId="2DF72BF5"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розроблення та подання Кабінету Міністрів України проекту постанови Кабінету Міністрів України щодо порядку надання кредитним бюро інформації, яка надходить від підприємств роздрібної торгівлі та організацій, щодо надання комунальних послуг</w:t>
            </w:r>
          </w:p>
        </w:tc>
        <w:tc>
          <w:tcPr>
            <w:tcW w:w="1984" w:type="dxa"/>
            <w:shd w:val="clear" w:color="auto" w:fill="auto"/>
          </w:tcPr>
          <w:p w14:paraId="7E5E25F3"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proofErr w:type="spellStart"/>
            <w:r w:rsidRPr="00195464">
              <w:rPr>
                <w:rFonts w:ascii="Times New Roman" w:eastAsia="Times New Roman" w:hAnsi="Times New Roman" w:cs="Times New Roman"/>
                <w:sz w:val="26"/>
                <w:szCs w:val="26"/>
                <w:lang w:eastAsia="ru-RU"/>
              </w:rPr>
              <w:t>Нацком-фінпослуг</w:t>
            </w:r>
            <w:proofErr w:type="spellEnd"/>
            <w:r w:rsidRPr="00195464">
              <w:rPr>
                <w:rFonts w:ascii="Times New Roman" w:eastAsia="Times New Roman" w:hAnsi="Times New Roman" w:cs="Times New Roman"/>
                <w:sz w:val="26"/>
                <w:szCs w:val="26"/>
                <w:lang w:eastAsia="ru-RU"/>
              </w:rPr>
              <w:t xml:space="preserve"> </w:t>
            </w:r>
            <w:r w:rsidRPr="00195464">
              <w:rPr>
                <w:rFonts w:ascii="Times New Roman" w:eastAsia="Times New Roman" w:hAnsi="Times New Roman" w:cs="Times New Roman"/>
                <w:sz w:val="26"/>
                <w:szCs w:val="26"/>
                <w:lang w:eastAsia="ru-RU"/>
              </w:rPr>
              <w:br/>
              <w:t>(за згодою)</w:t>
            </w:r>
          </w:p>
          <w:p w14:paraId="7CE2D435"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p>
        </w:tc>
        <w:tc>
          <w:tcPr>
            <w:tcW w:w="1560" w:type="dxa"/>
            <w:shd w:val="clear" w:color="auto" w:fill="FFFFFF"/>
          </w:tcPr>
          <w:p w14:paraId="24F3FC0D"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II квартал 2020 р.</w:t>
            </w:r>
          </w:p>
        </w:tc>
        <w:tc>
          <w:tcPr>
            <w:tcW w:w="5528" w:type="dxa"/>
            <w:shd w:val="clear" w:color="auto" w:fill="auto"/>
          </w:tcPr>
          <w:p w14:paraId="3F194FDF" w14:textId="77777777" w:rsidR="005F6D10" w:rsidRPr="00195464" w:rsidRDefault="005F6D10" w:rsidP="005F6D10">
            <w:pPr>
              <w:shd w:val="clear" w:color="auto" w:fill="FFFFFF"/>
              <w:suppressAutoHyphens/>
              <w:spacing w:before="60" w:after="0" w:line="240" w:lineRule="auto"/>
              <w:ind w:firstLine="178"/>
              <w:jc w:val="both"/>
              <w:rPr>
                <w:rFonts w:ascii="Times New Roman" w:eastAsia="Calibri" w:hAnsi="Times New Roman" w:cs="Times New Roman"/>
                <w:b/>
                <w:bCs/>
                <w:sz w:val="26"/>
                <w:szCs w:val="26"/>
              </w:rPr>
            </w:pPr>
            <w:r w:rsidRPr="00195464">
              <w:rPr>
                <w:rFonts w:ascii="Times New Roman" w:eastAsia="Calibri" w:hAnsi="Times New Roman" w:cs="Times New Roman"/>
                <w:b/>
                <w:bCs/>
                <w:sz w:val="26"/>
                <w:szCs w:val="26"/>
              </w:rPr>
              <w:t>Потребує корегування.</w:t>
            </w:r>
          </w:p>
          <w:p w14:paraId="4919ECFC" w14:textId="77777777" w:rsidR="005F6D10" w:rsidRPr="00195464" w:rsidRDefault="005F6D10" w:rsidP="005F6D10">
            <w:pPr>
              <w:shd w:val="clear" w:color="auto" w:fill="FFFFFF"/>
              <w:suppressAutoHyphens/>
              <w:spacing w:after="0" w:line="240" w:lineRule="auto"/>
              <w:ind w:firstLine="178"/>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Відповідно до Указу Президента України від  30.06.2020 № 259 Національну комісію, що здійснює державне регулювання у сфері ринків фінансових послуг припинено, шляхом ліквідації.</w:t>
            </w:r>
          </w:p>
          <w:p w14:paraId="02A56AA0" w14:textId="77777777" w:rsidR="005F6D10" w:rsidRPr="00195464" w:rsidRDefault="005F6D10" w:rsidP="005F6D10">
            <w:pPr>
              <w:shd w:val="clear" w:color="auto" w:fill="FFFFFF"/>
              <w:suppressAutoHyphens/>
              <w:spacing w:after="0" w:line="240" w:lineRule="auto"/>
              <w:ind w:firstLine="178"/>
              <w:jc w:val="both"/>
              <w:rPr>
                <w:rFonts w:ascii="Times New Roman" w:eastAsia="Times New Roman" w:hAnsi="Times New Roman" w:cs="Times New Roman"/>
                <w:kern w:val="1"/>
                <w:sz w:val="26"/>
                <w:szCs w:val="26"/>
                <w:lang w:eastAsia="ru-RU" w:bidi="hi-IN"/>
              </w:rPr>
            </w:pPr>
          </w:p>
        </w:tc>
      </w:tr>
      <w:tr w:rsidR="005F6D10" w:rsidRPr="00195464" w14:paraId="55221F1D" w14:textId="77777777" w:rsidTr="005F6D10">
        <w:tc>
          <w:tcPr>
            <w:tcW w:w="993" w:type="dxa"/>
            <w:shd w:val="clear" w:color="auto" w:fill="auto"/>
          </w:tcPr>
          <w:p w14:paraId="2FC5F576"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17.</w:t>
            </w:r>
          </w:p>
        </w:tc>
        <w:tc>
          <w:tcPr>
            <w:tcW w:w="2835" w:type="dxa"/>
            <w:shd w:val="clear" w:color="auto" w:fill="auto"/>
          </w:tcPr>
          <w:p w14:paraId="5866782C"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Зменшення граничного розміру кредиту, інформація про який подається до Кредитного реєстру Національного банку </w:t>
            </w:r>
          </w:p>
        </w:tc>
        <w:tc>
          <w:tcPr>
            <w:tcW w:w="2835" w:type="dxa"/>
            <w:shd w:val="clear" w:color="auto" w:fill="auto"/>
          </w:tcPr>
          <w:p w14:paraId="6E1D14AF"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розроблення, внесення на розгляд Верховної Ради України законопроекту щодо внесення змін до Закону України “Про банки і банківську діяльність”</w:t>
            </w:r>
          </w:p>
          <w:p w14:paraId="6CAF8292"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супроводження у Верховній Раді України законопроекту</w:t>
            </w:r>
          </w:p>
        </w:tc>
        <w:tc>
          <w:tcPr>
            <w:tcW w:w="1984" w:type="dxa"/>
            <w:shd w:val="clear" w:color="auto" w:fill="auto"/>
          </w:tcPr>
          <w:p w14:paraId="243104C4"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Національний банк </w:t>
            </w:r>
          </w:p>
          <w:p w14:paraId="07909212"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 згодою)</w:t>
            </w:r>
          </w:p>
          <w:p w14:paraId="50407F39"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p>
        </w:tc>
        <w:tc>
          <w:tcPr>
            <w:tcW w:w="1560" w:type="dxa"/>
            <w:shd w:val="clear" w:color="auto" w:fill="FFFFFF"/>
          </w:tcPr>
          <w:p w14:paraId="555DA0DF"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IV квартал 2020 р.</w:t>
            </w:r>
          </w:p>
          <w:p w14:paraId="03F16BD3"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5FC224D7"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360C25DF"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0B15A6B8"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58A997FD"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7D38B91F"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0422CFE7"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до прийняття закону</w:t>
            </w:r>
          </w:p>
        </w:tc>
        <w:tc>
          <w:tcPr>
            <w:tcW w:w="5528" w:type="dxa"/>
            <w:shd w:val="clear" w:color="auto" w:fill="auto"/>
          </w:tcPr>
          <w:p w14:paraId="468E8B49"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На розгляді ВРУ.</w:t>
            </w:r>
          </w:p>
          <w:p w14:paraId="65825C77" w14:textId="77777777" w:rsidR="005F6D10" w:rsidRPr="00195464" w:rsidRDefault="005F6D10" w:rsidP="005F6D10">
            <w:pPr>
              <w:shd w:val="clear" w:color="auto" w:fill="FFFFFF"/>
              <w:suppressAutoHyphens/>
              <w:spacing w:after="0" w:line="240" w:lineRule="auto"/>
              <w:ind w:firstLine="176"/>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З урахуванням набуття чинності з 01.07.2020 Закону України “Про внесення змін до деяких законодавчих актів щодо удосконалення функцій із державного регулювання ринків фінансових послуг та впровадження реформи фінансового ринку України” (СПЛІТ) Національний банк України в рамках підготовки відповідних змін до законодавства України таких, як законопроект “Про фінансові послуги та діяльність з надання фінансових послуг” (далі - законопроект) та відповідних секторальних законів, ініціював перенесення статті щодо ведення Кредитного реєстру Національного банку України до цих законів для розповсюдження їх дії на небанківський сектор фінансового ринку. Пропонується обсяг та перелік інформації, яка подається до Кредитного реєстру окремими категоріями </w:t>
            </w:r>
            <w:proofErr w:type="spellStart"/>
            <w:r w:rsidRPr="00195464">
              <w:rPr>
                <w:rFonts w:ascii="Times New Roman" w:eastAsia="Times New Roman" w:hAnsi="Times New Roman" w:cs="Times New Roman"/>
                <w:kern w:val="1"/>
                <w:sz w:val="26"/>
                <w:szCs w:val="26"/>
                <w:lang w:eastAsia="ru-RU" w:bidi="hi-IN"/>
              </w:rPr>
              <w:t>кредитодавців</w:t>
            </w:r>
            <w:proofErr w:type="spellEnd"/>
            <w:r w:rsidRPr="00195464">
              <w:rPr>
                <w:rFonts w:ascii="Times New Roman" w:eastAsia="Times New Roman" w:hAnsi="Times New Roman" w:cs="Times New Roman"/>
                <w:kern w:val="1"/>
                <w:sz w:val="26"/>
                <w:szCs w:val="26"/>
                <w:lang w:eastAsia="ru-RU" w:bidi="hi-IN"/>
              </w:rPr>
              <w:t>, Фондом гарантування вкладів фізичних осіб безпосередньо або уповноваженою особою Фонду у разі делегування їй повноважень, здійснювати нормативно-правовими актами Національного банку України. Наразі, законодавчі пропозиції, спрямовані на викладення у новій редакції закону про фінансові послуги, схвалені Правлінням Національного банку України та готуються до передачі, у встановленому порядку, на розгляд парламенту.</w:t>
            </w:r>
          </w:p>
        </w:tc>
      </w:tr>
      <w:tr w:rsidR="005F6D10" w:rsidRPr="00195464" w14:paraId="2AE06E1B" w14:textId="77777777" w:rsidTr="005F6D10">
        <w:tc>
          <w:tcPr>
            <w:tcW w:w="15735" w:type="dxa"/>
            <w:gridSpan w:val="6"/>
            <w:shd w:val="clear" w:color="auto" w:fill="auto"/>
          </w:tcPr>
          <w:p w14:paraId="19108C3B" w14:textId="77777777" w:rsidR="005F6D10" w:rsidRPr="00195464" w:rsidRDefault="005F6D10" w:rsidP="005F6D10">
            <w:pPr>
              <w:shd w:val="clear" w:color="auto" w:fill="FFFFFF"/>
              <w:suppressAutoHyphens/>
              <w:spacing w:before="60" w:after="0" w:line="240" w:lineRule="auto"/>
              <w:ind w:firstLine="176"/>
              <w:jc w:val="center"/>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bCs/>
                <w:kern w:val="1"/>
                <w:sz w:val="26"/>
                <w:szCs w:val="26"/>
                <w:lang w:eastAsia="ru-RU" w:bidi="hi-IN"/>
              </w:rPr>
              <w:t>Захист</w:t>
            </w:r>
            <w:r w:rsidRPr="00195464">
              <w:rPr>
                <w:rFonts w:ascii="Calibri" w:eastAsia="Calibri" w:hAnsi="Calibri" w:cs="Times New Roman"/>
                <w:sz w:val="26"/>
                <w:szCs w:val="26"/>
              </w:rPr>
              <w:t xml:space="preserve"> </w:t>
            </w:r>
            <w:r w:rsidRPr="00195464">
              <w:rPr>
                <w:rFonts w:ascii="Times New Roman" w:eastAsia="Times New Roman" w:hAnsi="Times New Roman" w:cs="Times New Roman"/>
                <w:b/>
                <w:bCs/>
                <w:kern w:val="1"/>
                <w:sz w:val="26"/>
                <w:szCs w:val="26"/>
                <w:lang w:eastAsia="ru-RU" w:bidi="hi-IN"/>
              </w:rPr>
              <w:t>міноритарних інвесторів</w:t>
            </w:r>
          </w:p>
        </w:tc>
      </w:tr>
      <w:tr w:rsidR="005F6D10" w:rsidRPr="00195464" w14:paraId="25E0227D" w14:textId="77777777" w:rsidTr="005F6D10">
        <w:tc>
          <w:tcPr>
            <w:tcW w:w="993" w:type="dxa"/>
            <w:shd w:val="clear" w:color="auto" w:fill="auto"/>
          </w:tcPr>
          <w:p w14:paraId="7EECBDE6"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18.</w:t>
            </w:r>
          </w:p>
        </w:tc>
        <w:tc>
          <w:tcPr>
            <w:tcW w:w="2835" w:type="dxa"/>
            <w:shd w:val="clear" w:color="auto" w:fill="auto"/>
          </w:tcPr>
          <w:p w14:paraId="5B3E1451"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Удосконалення законодавства про компанії шляхом: </w:t>
            </w:r>
            <w:r w:rsidRPr="00195464">
              <w:rPr>
                <w:rFonts w:ascii="Times New Roman" w:eastAsia="Times New Roman" w:hAnsi="Times New Roman" w:cs="Times New Roman"/>
                <w:sz w:val="26"/>
                <w:szCs w:val="26"/>
                <w:lang w:eastAsia="ru-RU"/>
              </w:rPr>
              <w:br/>
              <w:t xml:space="preserve">підвищення відповідальності посадових осіб акціонерного товариства, зокрема через забезпечення можливості притягнення до відповідальності посадових осіб акціонерного товариства за заподіяння збитків товариству внаслідок вчинення дій не в інтересах товариства; </w:t>
            </w:r>
            <w:r w:rsidRPr="00195464">
              <w:rPr>
                <w:rFonts w:ascii="Times New Roman" w:eastAsia="Times New Roman" w:hAnsi="Times New Roman" w:cs="Times New Roman"/>
                <w:sz w:val="26"/>
                <w:szCs w:val="26"/>
                <w:lang w:eastAsia="ru-RU"/>
              </w:rPr>
              <w:br/>
              <w:t>зменшення порогового розміру частки у власності акціонерного товариства для отримання права подання позову про відшкодування збитків, заподіяних юридичній особі її посадовою особою</w:t>
            </w:r>
          </w:p>
        </w:tc>
        <w:tc>
          <w:tcPr>
            <w:tcW w:w="2835" w:type="dxa"/>
            <w:shd w:val="clear" w:color="auto" w:fill="auto"/>
          </w:tcPr>
          <w:p w14:paraId="779E59B0"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супроводження у Верховній Раді України проекту Закону України “Про акціонерні товариства” (реєстраційний номер 2493)</w:t>
            </w:r>
          </w:p>
        </w:tc>
        <w:tc>
          <w:tcPr>
            <w:tcW w:w="1984" w:type="dxa"/>
            <w:shd w:val="clear" w:color="auto" w:fill="auto"/>
          </w:tcPr>
          <w:p w14:paraId="10E3B538"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НКЦПФР </w:t>
            </w:r>
          </w:p>
          <w:p w14:paraId="0AABD7A0"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 згодою)</w:t>
            </w:r>
          </w:p>
        </w:tc>
        <w:tc>
          <w:tcPr>
            <w:tcW w:w="1560" w:type="dxa"/>
            <w:shd w:val="clear" w:color="auto" w:fill="FFFFFF"/>
          </w:tcPr>
          <w:p w14:paraId="7D7BC407"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до прийняття закону</w:t>
            </w:r>
          </w:p>
        </w:tc>
        <w:tc>
          <w:tcPr>
            <w:tcW w:w="5528" w:type="dxa"/>
            <w:shd w:val="clear" w:color="auto" w:fill="auto"/>
          </w:tcPr>
          <w:p w14:paraId="101C3582" w14:textId="77777777" w:rsidR="005F6D10" w:rsidRPr="00195464" w:rsidRDefault="005F6D10" w:rsidP="005F6D10">
            <w:pPr>
              <w:shd w:val="clear" w:color="auto" w:fill="FFFFFF"/>
              <w:suppressAutoHyphens/>
              <w:spacing w:before="60" w:after="0" w:line="240" w:lineRule="auto"/>
              <w:ind w:firstLine="178"/>
              <w:jc w:val="both"/>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На розгляді ВРУ.</w:t>
            </w:r>
          </w:p>
          <w:p w14:paraId="253D8489" w14:textId="77777777" w:rsidR="005F6D10" w:rsidRPr="00195464" w:rsidRDefault="005F6D10" w:rsidP="005F6D10">
            <w:pPr>
              <w:shd w:val="clear" w:color="auto" w:fill="FFFFFF"/>
              <w:suppressAutoHyphens/>
              <w:spacing w:after="0" w:line="240" w:lineRule="auto"/>
              <w:ind w:firstLine="178"/>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16.06.2020 прийнято в першому читанні.</w:t>
            </w:r>
          </w:p>
          <w:p w14:paraId="44123A1C" w14:textId="77777777" w:rsidR="005F6D10" w:rsidRPr="00195464" w:rsidRDefault="005F6D10" w:rsidP="005F6D10">
            <w:pPr>
              <w:shd w:val="clear" w:color="auto" w:fill="FFFFFF"/>
              <w:suppressAutoHyphens/>
              <w:spacing w:after="0" w:line="240" w:lineRule="auto"/>
              <w:ind w:firstLine="178"/>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01.09.2020 включено до порядку денного четвертої сесії Верховної Ради України дев’ятого скликання.</w:t>
            </w:r>
          </w:p>
          <w:p w14:paraId="0A4C22CF" w14:textId="77777777" w:rsidR="005F6D10" w:rsidRPr="00195464" w:rsidRDefault="005F6D10" w:rsidP="005F6D10">
            <w:pPr>
              <w:shd w:val="clear" w:color="auto" w:fill="FFFFFF"/>
              <w:suppressAutoHyphens/>
              <w:spacing w:after="0" w:line="240" w:lineRule="auto"/>
              <w:ind w:firstLine="178"/>
              <w:jc w:val="both"/>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Готується на друге читання.</w:t>
            </w:r>
          </w:p>
        </w:tc>
      </w:tr>
      <w:tr w:rsidR="005F6D10" w:rsidRPr="00195464" w14:paraId="34A936A3" w14:textId="77777777" w:rsidTr="005F6D10">
        <w:tc>
          <w:tcPr>
            <w:tcW w:w="15735" w:type="dxa"/>
            <w:gridSpan w:val="6"/>
            <w:shd w:val="clear" w:color="auto" w:fill="auto"/>
          </w:tcPr>
          <w:p w14:paraId="2297CD3C" w14:textId="77777777" w:rsidR="005F6D10" w:rsidRPr="00195464" w:rsidRDefault="005F6D10" w:rsidP="005F6D10">
            <w:pPr>
              <w:shd w:val="clear" w:color="auto" w:fill="FFFFFF"/>
              <w:suppressAutoHyphens/>
              <w:spacing w:before="60" w:after="0" w:line="240" w:lineRule="auto"/>
              <w:ind w:firstLine="178"/>
              <w:jc w:val="center"/>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Міжнародна торгівля</w:t>
            </w:r>
          </w:p>
        </w:tc>
      </w:tr>
      <w:tr w:rsidR="005F6D10" w:rsidRPr="00195464" w14:paraId="03B84A00" w14:textId="77777777" w:rsidTr="005F6D10">
        <w:tc>
          <w:tcPr>
            <w:tcW w:w="993" w:type="dxa"/>
            <w:shd w:val="clear" w:color="auto" w:fill="auto"/>
          </w:tcPr>
          <w:p w14:paraId="5AA1DBC3"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19.</w:t>
            </w:r>
          </w:p>
        </w:tc>
        <w:tc>
          <w:tcPr>
            <w:tcW w:w="2835" w:type="dxa"/>
            <w:shd w:val="clear" w:color="auto" w:fill="auto"/>
          </w:tcPr>
          <w:p w14:paraId="0E78ABCC"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Запровадження електронної системи ризик-індикаторів інспектування</w:t>
            </w:r>
          </w:p>
        </w:tc>
        <w:tc>
          <w:tcPr>
            <w:tcW w:w="2835" w:type="dxa"/>
            <w:shd w:val="clear" w:color="auto" w:fill="auto"/>
          </w:tcPr>
          <w:p w14:paraId="4663706C"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видання наказу Держмитслужби щодо запровадження електронної системи ризик-індикаторів інспектування</w:t>
            </w:r>
          </w:p>
        </w:tc>
        <w:tc>
          <w:tcPr>
            <w:tcW w:w="1984" w:type="dxa"/>
            <w:shd w:val="clear" w:color="auto" w:fill="auto"/>
          </w:tcPr>
          <w:p w14:paraId="6FDCCBBA"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Держмит-служба</w:t>
            </w:r>
          </w:p>
        </w:tc>
        <w:tc>
          <w:tcPr>
            <w:tcW w:w="1560" w:type="dxa"/>
            <w:shd w:val="clear" w:color="auto" w:fill="FFFFFF"/>
          </w:tcPr>
          <w:p w14:paraId="04809F60"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III квартал 2020 р.</w:t>
            </w:r>
          </w:p>
        </w:tc>
        <w:tc>
          <w:tcPr>
            <w:tcW w:w="5528" w:type="dxa"/>
            <w:shd w:val="clear" w:color="auto" w:fill="auto"/>
          </w:tcPr>
          <w:p w14:paraId="556EE2A4" w14:textId="77777777" w:rsidR="005F6D10" w:rsidRPr="00195464" w:rsidRDefault="005F6D10" w:rsidP="005F6D10">
            <w:pPr>
              <w:keepNext/>
              <w:shd w:val="clear" w:color="auto" w:fill="FFFFFF"/>
              <w:suppressAutoHyphens/>
              <w:spacing w:before="60" w:after="0" w:line="240" w:lineRule="auto"/>
              <w:ind w:firstLine="176"/>
              <w:jc w:val="both"/>
              <w:outlineLvl w:val="2"/>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Виконано.</w:t>
            </w:r>
          </w:p>
          <w:p w14:paraId="19F99355"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З метою врегулювання окремих питань застосування автоматизованої системи управління ризиками (далі - АСУР) Держмитслужбою видано накази:</w:t>
            </w:r>
          </w:p>
          <w:p w14:paraId="1695F0FC"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від 23.01.2020 № 23 “Про утворення Експертної комісії із застосування системи управління ризиками в Державній митній службі України”;</w:t>
            </w:r>
          </w:p>
          <w:p w14:paraId="114AA381"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від 11.02.2020 № 49 “Про затвердження Порядку роботи з модулем “Попередні МВД” АСМО “Інспектор”;</w:t>
            </w:r>
          </w:p>
          <w:p w14:paraId="776F48ED"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від 11.02.2020 № 50 “Про затвердження Порядку опрацювання доручень на проведення огляду (переогляду) товарів, транспортних засобів комерційного призначення”.</w:t>
            </w:r>
          </w:p>
          <w:p w14:paraId="034DADBA"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Зазначені документи регулюють окремі питання наповнення АСУР інформацією щодо індикаторів ризику, в т. ч. за результатами виявлення системою автоматично визначається необхідність проведення фізичної перевірки товарів, транспортних засобів.</w:t>
            </w:r>
          </w:p>
          <w:p w14:paraId="560E7556"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У 2019 році АСУР було визначено необхідність проведення митного огляду по 5% митних декларацій (при експорті - 2%, при імпорті 6,9%, при транзиті - 0,1%).</w:t>
            </w:r>
          </w:p>
        </w:tc>
      </w:tr>
      <w:tr w:rsidR="005F6D10" w:rsidRPr="00195464" w14:paraId="53DF51E6" w14:textId="77777777" w:rsidTr="005F6D10">
        <w:tc>
          <w:tcPr>
            <w:tcW w:w="993" w:type="dxa"/>
            <w:shd w:val="clear" w:color="auto" w:fill="auto"/>
          </w:tcPr>
          <w:p w14:paraId="4FFB9FBE"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20.</w:t>
            </w:r>
          </w:p>
        </w:tc>
        <w:tc>
          <w:tcPr>
            <w:tcW w:w="2835" w:type="dxa"/>
            <w:shd w:val="clear" w:color="auto" w:fill="auto"/>
          </w:tcPr>
          <w:p w14:paraId="032C0947"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Запровадження використання сканерів для проведення аналізу вантажів, що перетинають митний кордон України</w:t>
            </w:r>
          </w:p>
        </w:tc>
        <w:tc>
          <w:tcPr>
            <w:tcW w:w="2835" w:type="dxa"/>
            <w:shd w:val="clear" w:color="auto" w:fill="auto"/>
          </w:tcPr>
          <w:p w14:paraId="4B6CA6AF"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видання наказу Держмитслужби щодо введення в експлуатацію сканерів для проведення аналізу вантажів, що перетинають митний кордон України</w:t>
            </w:r>
          </w:p>
        </w:tc>
        <w:tc>
          <w:tcPr>
            <w:tcW w:w="1984" w:type="dxa"/>
            <w:shd w:val="clear" w:color="auto" w:fill="auto"/>
          </w:tcPr>
          <w:p w14:paraId="224362C4"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Держмит-служба</w:t>
            </w:r>
          </w:p>
        </w:tc>
        <w:tc>
          <w:tcPr>
            <w:tcW w:w="1560" w:type="dxa"/>
            <w:shd w:val="clear" w:color="auto" w:fill="FFFFFF"/>
          </w:tcPr>
          <w:p w14:paraId="0E30C5DC"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III квартал 2020 р.</w:t>
            </w:r>
          </w:p>
        </w:tc>
        <w:tc>
          <w:tcPr>
            <w:tcW w:w="5528" w:type="dxa"/>
            <w:shd w:val="clear" w:color="auto" w:fill="auto"/>
          </w:tcPr>
          <w:p w14:paraId="0023356F" w14:textId="77777777" w:rsidR="005F6D10" w:rsidRPr="00195464" w:rsidRDefault="005F6D10" w:rsidP="005F6D10">
            <w:pPr>
              <w:keepNext/>
              <w:shd w:val="clear" w:color="auto" w:fill="FFFFFF"/>
              <w:suppressAutoHyphens/>
              <w:spacing w:before="60" w:after="0" w:line="240" w:lineRule="auto"/>
              <w:ind w:firstLine="178"/>
              <w:jc w:val="both"/>
              <w:outlineLvl w:val="2"/>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 xml:space="preserve">Виконано частково. </w:t>
            </w:r>
          </w:p>
          <w:p w14:paraId="61C592C1"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У 2018-2019 роках встановлено сім комплексних скануючих систем стаціонарного типу для огляду вантажних транспортних засобів та контейнерів у наступних міжнародних пунктах пропуску для автомобільного сполучення: “Ягодин”, “</w:t>
            </w:r>
            <w:proofErr w:type="spellStart"/>
            <w:r w:rsidRPr="00195464">
              <w:rPr>
                <w:rFonts w:ascii="Times New Roman" w:eastAsia="Times New Roman" w:hAnsi="Times New Roman" w:cs="Times New Roman"/>
                <w:kern w:val="1"/>
                <w:sz w:val="26"/>
                <w:szCs w:val="26"/>
                <w:lang w:eastAsia="ru-RU" w:bidi="hi-IN"/>
              </w:rPr>
              <w:t>Краківець</w:t>
            </w:r>
            <w:proofErr w:type="spellEnd"/>
            <w:r w:rsidRPr="00195464">
              <w:rPr>
                <w:rFonts w:ascii="Times New Roman" w:eastAsia="Times New Roman" w:hAnsi="Times New Roman" w:cs="Times New Roman"/>
                <w:kern w:val="1"/>
                <w:sz w:val="26"/>
                <w:szCs w:val="26"/>
                <w:lang w:eastAsia="ru-RU" w:bidi="hi-IN"/>
              </w:rPr>
              <w:t>”, “Рава-Руська”, “</w:t>
            </w:r>
            <w:proofErr w:type="spellStart"/>
            <w:r w:rsidRPr="00195464">
              <w:rPr>
                <w:rFonts w:ascii="Times New Roman" w:eastAsia="Times New Roman" w:hAnsi="Times New Roman" w:cs="Times New Roman"/>
                <w:kern w:val="1"/>
                <w:sz w:val="26"/>
                <w:szCs w:val="26"/>
                <w:lang w:eastAsia="ru-RU" w:bidi="hi-IN"/>
              </w:rPr>
              <w:t>Шегині</w:t>
            </w:r>
            <w:proofErr w:type="spellEnd"/>
            <w:r w:rsidRPr="00195464">
              <w:rPr>
                <w:rFonts w:ascii="Times New Roman" w:eastAsia="Times New Roman" w:hAnsi="Times New Roman" w:cs="Times New Roman"/>
                <w:kern w:val="1"/>
                <w:sz w:val="26"/>
                <w:szCs w:val="26"/>
                <w:lang w:eastAsia="ru-RU" w:bidi="hi-IN"/>
              </w:rPr>
              <w:t>”, “Ужгород”, “Чоп” та “</w:t>
            </w:r>
            <w:proofErr w:type="spellStart"/>
            <w:r w:rsidRPr="00195464">
              <w:rPr>
                <w:rFonts w:ascii="Times New Roman" w:eastAsia="Times New Roman" w:hAnsi="Times New Roman" w:cs="Times New Roman"/>
                <w:kern w:val="1"/>
                <w:sz w:val="26"/>
                <w:szCs w:val="26"/>
                <w:lang w:eastAsia="ru-RU" w:bidi="hi-IN"/>
              </w:rPr>
              <w:t>Порубне</w:t>
            </w:r>
            <w:proofErr w:type="spellEnd"/>
            <w:r w:rsidRPr="00195464">
              <w:rPr>
                <w:rFonts w:ascii="Times New Roman" w:eastAsia="Times New Roman" w:hAnsi="Times New Roman" w:cs="Times New Roman"/>
                <w:kern w:val="1"/>
                <w:sz w:val="26"/>
                <w:szCs w:val="26"/>
                <w:lang w:eastAsia="ru-RU" w:bidi="hi-IN"/>
              </w:rPr>
              <w:t>”.</w:t>
            </w:r>
          </w:p>
          <w:p w14:paraId="739BCF20" w14:textId="77777777" w:rsidR="005F6D10" w:rsidRPr="00195464" w:rsidRDefault="005F6D10" w:rsidP="005F6D10">
            <w:pPr>
              <w:keepNext/>
              <w:shd w:val="clear" w:color="auto" w:fill="FFFFFF"/>
              <w:suppressAutoHyphens/>
              <w:spacing w:after="0" w:line="240" w:lineRule="auto"/>
              <w:ind w:firstLine="178"/>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Наразі обладнання працює в тестовому режимі для напрацювання практичних матеріалів, знань та навичок у відповідного персоналу (операторів), виявлення можливих недоліків у роботі обладнання та більш точного його налаштування.</w:t>
            </w:r>
          </w:p>
          <w:p w14:paraId="3B66051F" w14:textId="77777777" w:rsidR="005F6D10" w:rsidRPr="00195464" w:rsidRDefault="005F6D10" w:rsidP="005F6D10">
            <w:pPr>
              <w:keepNext/>
              <w:shd w:val="clear" w:color="auto" w:fill="FFFFFF"/>
              <w:suppressAutoHyphens/>
              <w:spacing w:after="0" w:line="240" w:lineRule="auto"/>
              <w:ind w:firstLine="178"/>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Завершення тестового режиму експлуатації скануючих систем та видання наказу щодо введення в експлуатацію сканерів для проведення аналізу вантажів, що перетинають митний кордон України, відбудеться після повної передачі відповідних майнових прав від митниць ДФС до митниць Держмитслужби, введення в експлуатацію споруд скануючих систем стаціонарного типу для огляду вантажних транспортних засобів та контейнерів.</w:t>
            </w:r>
          </w:p>
        </w:tc>
      </w:tr>
      <w:tr w:rsidR="005F6D10" w:rsidRPr="00195464" w14:paraId="56EA6E8E" w14:textId="77777777" w:rsidTr="005F6D10">
        <w:tc>
          <w:tcPr>
            <w:tcW w:w="993" w:type="dxa"/>
            <w:shd w:val="clear" w:color="auto" w:fill="auto"/>
          </w:tcPr>
          <w:p w14:paraId="3955C404"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21.</w:t>
            </w:r>
          </w:p>
        </w:tc>
        <w:tc>
          <w:tcPr>
            <w:tcW w:w="2835" w:type="dxa"/>
            <w:shd w:val="clear" w:color="auto" w:fill="auto"/>
          </w:tcPr>
          <w:p w14:paraId="2A4D90AA"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Реалізація </w:t>
            </w:r>
            <w:hyperlink r:id="rId9" w:tgtFrame="_blank" w:history="1">
              <w:r w:rsidRPr="00195464">
                <w:rPr>
                  <w:rFonts w:ascii="Times New Roman" w:eastAsia="Times New Roman" w:hAnsi="Times New Roman" w:cs="Times New Roman"/>
                  <w:sz w:val="26"/>
                  <w:szCs w:val="26"/>
                  <w:lang w:eastAsia="ru-RU"/>
                </w:rPr>
                <w:t>Закону України</w:t>
              </w:r>
            </w:hyperlink>
            <w:r w:rsidRPr="00195464">
              <w:rPr>
                <w:rFonts w:ascii="Times New Roman" w:eastAsia="Times New Roman" w:hAnsi="Times New Roman" w:cs="Times New Roman"/>
                <w:sz w:val="26"/>
                <w:szCs w:val="26"/>
                <w:lang w:eastAsia="ru-RU"/>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tc>
        <w:tc>
          <w:tcPr>
            <w:tcW w:w="2835" w:type="dxa"/>
            <w:shd w:val="clear" w:color="auto" w:fill="auto"/>
          </w:tcPr>
          <w:p w14:paraId="7CB3A0F9"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прийняття порядку здійснення заходів щодо сприяння захисту прав інтелектуальної власності та взаємодії органів доходів і зборів з правовласниками, декларантами та іншими заінтересованими особами</w:t>
            </w:r>
          </w:p>
        </w:tc>
        <w:tc>
          <w:tcPr>
            <w:tcW w:w="1984" w:type="dxa"/>
            <w:shd w:val="clear" w:color="auto" w:fill="auto"/>
          </w:tcPr>
          <w:p w14:paraId="12335AC9"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Мінфін</w:t>
            </w:r>
          </w:p>
        </w:tc>
        <w:tc>
          <w:tcPr>
            <w:tcW w:w="1560" w:type="dxa"/>
            <w:shd w:val="clear" w:color="auto" w:fill="FFFFFF"/>
          </w:tcPr>
          <w:p w14:paraId="572E7AE7"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II квартал 2020 р.</w:t>
            </w:r>
          </w:p>
        </w:tc>
        <w:tc>
          <w:tcPr>
            <w:tcW w:w="5528" w:type="dxa"/>
            <w:shd w:val="clear" w:color="auto" w:fill="auto"/>
          </w:tcPr>
          <w:p w14:paraId="2D2DDE5D" w14:textId="77777777" w:rsidR="005F6D10" w:rsidRPr="00195464" w:rsidRDefault="005F6D10" w:rsidP="005F6D10">
            <w:pPr>
              <w:keepNext/>
              <w:shd w:val="clear" w:color="auto" w:fill="FFFFFF"/>
              <w:suppressAutoHyphens/>
              <w:spacing w:before="60" w:after="0" w:line="240" w:lineRule="auto"/>
              <w:ind w:firstLine="178"/>
              <w:jc w:val="both"/>
              <w:outlineLvl w:val="2"/>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Виконано.</w:t>
            </w:r>
          </w:p>
          <w:p w14:paraId="53B86595" w14:textId="77777777" w:rsidR="005F6D10" w:rsidRPr="00195464" w:rsidRDefault="005F6D10" w:rsidP="005F6D10">
            <w:pPr>
              <w:keepNext/>
              <w:shd w:val="clear" w:color="auto" w:fill="FFFFFF"/>
              <w:suppressAutoHyphens/>
              <w:spacing w:after="0" w:line="240" w:lineRule="auto"/>
              <w:ind w:firstLine="178"/>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b/>
                <w:bCs/>
                <w:kern w:val="1"/>
                <w:sz w:val="26"/>
                <w:szCs w:val="26"/>
                <w:lang w:eastAsia="ru-RU" w:bidi="hi-IN"/>
              </w:rPr>
              <w:t>Прийнято накази Міністерства фінансів</w:t>
            </w:r>
            <w:r w:rsidRPr="00195464">
              <w:rPr>
                <w:rFonts w:ascii="Times New Roman" w:eastAsia="Times New Roman" w:hAnsi="Times New Roman" w:cs="Times New Roman"/>
                <w:kern w:val="1"/>
                <w:sz w:val="26"/>
                <w:szCs w:val="26"/>
                <w:lang w:eastAsia="ru-RU" w:bidi="hi-IN"/>
              </w:rPr>
              <w:t xml:space="preserve"> </w:t>
            </w:r>
            <w:r w:rsidRPr="00195464">
              <w:rPr>
                <w:rFonts w:ascii="Times New Roman" w:eastAsia="Times New Roman" w:hAnsi="Times New Roman" w:cs="Times New Roman"/>
                <w:b/>
                <w:bCs/>
                <w:kern w:val="1"/>
                <w:sz w:val="26"/>
                <w:szCs w:val="26"/>
                <w:lang w:eastAsia="ru-RU" w:bidi="hi-IN"/>
              </w:rPr>
              <w:t xml:space="preserve">України </w:t>
            </w:r>
            <w:r w:rsidRPr="00195464">
              <w:rPr>
                <w:rFonts w:ascii="Times New Roman" w:eastAsia="Times New Roman" w:hAnsi="Times New Roman" w:cs="Times New Roman"/>
                <w:kern w:val="1"/>
                <w:sz w:val="26"/>
                <w:szCs w:val="26"/>
                <w:lang w:eastAsia="ru-RU" w:bidi="hi-IN"/>
              </w:rPr>
              <w:t>від 09.06.2020:</w:t>
            </w:r>
          </w:p>
          <w:p w14:paraId="641DF020" w14:textId="77777777" w:rsidR="005F6D10" w:rsidRPr="00195464" w:rsidRDefault="005F6D10" w:rsidP="005F6D10">
            <w:pPr>
              <w:keepNext/>
              <w:shd w:val="clear" w:color="auto" w:fill="FFFFFF"/>
              <w:suppressAutoHyphens/>
              <w:spacing w:after="0" w:line="240" w:lineRule="auto"/>
              <w:ind w:firstLine="178"/>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 № 281 “Про затвердження 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 та Змін до деяких нормативно-правових актів Міністерства фінансів України”, зареєстровано в Міністерстві юстиції України 22.06.2020 за № 549/34832 та № 550/34833; </w:t>
            </w:r>
          </w:p>
          <w:p w14:paraId="6B91E426" w14:textId="77777777" w:rsidR="005F6D10" w:rsidRPr="00195464" w:rsidRDefault="005F6D10" w:rsidP="005F6D10">
            <w:pPr>
              <w:keepNext/>
              <w:shd w:val="clear" w:color="auto" w:fill="FFFFFF"/>
              <w:suppressAutoHyphens/>
              <w:spacing w:after="0" w:line="240" w:lineRule="auto"/>
              <w:ind w:firstLine="178"/>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 282 “Про внесення змін до Порядку реєстрації у митному реєстрі об’єктів права інтелектуальної власності, які охороняються відповідно до закону”, зареєстровано в Міністерстві юстиції України 22.06.2020 за № 548/34831.</w:t>
            </w:r>
          </w:p>
        </w:tc>
      </w:tr>
      <w:tr w:rsidR="005F6D10" w:rsidRPr="00195464" w14:paraId="6A538668" w14:textId="77777777" w:rsidTr="005F6D10">
        <w:tc>
          <w:tcPr>
            <w:tcW w:w="15735" w:type="dxa"/>
            <w:gridSpan w:val="6"/>
            <w:shd w:val="clear" w:color="auto" w:fill="auto"/>
          </w:tcPr>
          <w:p w14:paraId="7AA01506" w14:textId="77777777" w:rsidR="005F6D10" w:rsidRPr="00195464" w:rsidRDefault="005F6D10" w:rsidP="005F6D10">
            <w:pPr>
              <w:keepNext/>
              <w:shd w:val="clear" w:color="auto" w:fill="FFFFFF"/>
              <w:suppressAutoHyphens/>
              <w:spacing w:before="60" w:after="0" w:line="240" w:lineRule="auto"/>
              <w:ind w:firstLine="178"/>
              <w:jc w:val="center"/>
              <w:outlineLvl w:val="2"/>
              <w:rPr>
                <w:rFonts w:ascii="Times New Roman" w:eastAsia="Times New Roman" w:hAnsi="Times New Roman" w:cs="Times New Roman"/>
                <w:b/>
                <w:kern w:val="1"/>
                <w:sz w:val="26"/>
                <w:szCs w:val="26"/>
                <w:lang w:eastAsia="ru-RU" w:bidi="hi-IN"/>
              </w:rPr>
            </w:pPr>
            <w:r w:rsidRPr="00195464">
              <w:rPr>
                <w:rFonts w:ascii="Times New Roman" w:eastAsia="Calibri" w:hAnsi="Times New Roman" w:cs="Times New Roman"/>
                <w:b/>
                <w:sz w:val="26"/>
                <w:szCs w:val="26"/>
              </w:rPr>
              <w:t>Забезпечення виконання контрактів</w:t>
            </w:r>
          </w:p>
        </w:tc>
      </w:tr>
      <w:tr w:rsidR="005F6D10" w:rsidRPr="00195464" w14:paraId="535186A6" w14:textId="77777777" w:rsidTr="005F6D10">
        <w:tc>
          <w:tcPr>
            <w:tcW w:w="993" w:type="dxa"/>
            <w:shd w:val="clear" w:color="auto" w:fill="auto"/>
          </w:tcPr>
          <w:p w14:paraId="21582E1B"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22</w:t>
            </w:r>
          </w:p>
        </w:tc>
        <w:tc>
          <w:tcPr>
            <w:tcW w:w="2835" w:type="dxa"/>
            <w:shd w:val="clear" w:color="auto" w:fill="auto"/>
          </w:tcPr>
          <w:p w14:paraId="4EED91FB"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Введення обов’язкової електронної адреси для кожного суб’єкта господарювання для взаємодії із суб’єктами владних повноважень</w:t>
            </w:r>
          </w:p>
        </w:tc>
        <w:tc>
          <w:tcPr>
            <w:tcW w:w="2835" w:type="dxa"/>
            <w:shd w:val="clear" w:color="auto" w:fill="auto"/>
          </w:tcPr>
          <w:p w14:paraId="0B0631AA"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розроблення та внесення на розгляд Кабінету Міністрів України проекту Закону України “Про внесення змін до Закону України “Про державну реєстрацію юридичних осіб, фізичних осіб - підприємців та громадських формувань” та інших законодавчих актів</w:t>
            </w:r>
          </w:p>
          <w:p w14:paraId="07ABF451"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супроводження у Верховній Раді України законопроекту</w:t>
            </w:r>
          </w:p>
        </w:tc>
        <w:tc>
          <w:tcPr>
            <w:tcW w:w="1984" w:type="dxa"/>
            <w:shd w:val="clear" w:color="auto" w:fill="auto"/>
          </w:tcPr>
          <w:p w14:paraId="6AC88BAF"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Мін’юст</w:t>
            </w:r>
          </w:p>
          <w:p w14:paraId="2AA3A49F"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tc>
        <w:tc>
          <w:tcPr>
            <w:tcW w:w="1560" w:type="dxa"/>
            <w:shd w:val="clear" w:color="auto" w:fill="FFFFFF"/>
          </w:tcPr>
          <w:p w14:paraId="62EF3EE7"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 квартал 2020 р.</w:t>
            </w:r>
          </w:p>
          <w:p w14:paraId="0F4D0747"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191CDCBA"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034C8C50"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2AAF8A24"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2B535FF2"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3894A1BA"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390D3C1B"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4BC7A1FD"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449E3A01"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05242311"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5661E977"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05464D1B"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7508B43C"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до прийняття закону</w:t>
            </w:r>
          </w:p>
        </w:tc>
        <w:tc>
          <w:tcPr>
            <w:tcW w:w="5528" w:type="dxa"/>
            <w:shd w:val="clear" w:color="auto" w:fill="auto"/>
          </w:tcPr>
          <w:p w14:paraId="69F7612C" w14:textId="77777777" w:rsidR="005F6D10" w:rsidRPr="00195464" w:rsidRDefault="005F6D10" w:rsidP="005F6D10">
            <w:pPr>
              <w:keepNext/>
              <w:shd w:val="clear" w:color="auto" w:fill="FFFFFF"/>
              <w:suppressAutoHyphens/>
              <w:spacing w:before="60" w:after="0" w:line="240" w:lineRule="auto"/>
              <w:ind w:firstLine="176"/>
              <w:jc w:val="both"/>
              <w:outlineLvl w:val="2"/>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Виконується.</w:t>
            </w:r>
          </w:p>
          <w:p w14:paraId="5257CD18"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sz w:val="26"/>
                <w:szCs w:val="26"/>
              </w:rPr>
            </w:pPr>
            <w:r w:rsidRPr="00195464">
              <w:rPr>
                <w:rFonts w:ascii="Times New Roman" w:eastAsia="Calibri" w:hAnsi="Times New Roman" w:cs="Times New Roman"/>
                <w:bCs/>
                <w:sz w:val="26"/>
                <w:szCs w:val="26"/>
              </w:rPr>
              <w:t>Р</w:t>
            </w:r>
            <w:r w:rsidRPr="00195464">
              <w:rPr>
                <w:rFonts w:ascii="Times New Roman" w:eastAsia="Calibri" w:hAnsi="Times New Roman" w:cs="Times New Roman"/>
                <w:sz w:val="26"/>
                <w:szCs w:val="26"/>
              </w:rPr>
              <w:t xml:space="preserve">озроблено відповідний законопроект, яким пропонується внести зміни до Цивільного кодексу України, Господарського процесуального кодексу України, Цивільного процесуального кодексу України, Кримінального процесуального кодексу України, Кодексу адміністративного судочинства України та Закону України “Про державну реєстрацію юридичних осіб, фізичних осіб – підприємців та громадських формувань” в частині доповнення їх нормами щодо введення та використання офіційної електронної адреси для суб’єктів господарювання. </w:t>
            </w:r>
          </w:p>
          <w:p w14:paraId="0D63F214"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Водночас у Верховній Раді України зареєстровано низку законопроектів, якими передбачено введення обов’язкової електронної адреси для суб’єктів господарювання для взаємодії із суб’єктами владних повноважень, а саме: </w:t>
            </w:r>
          </w:p>
          <w:p w14:paraId="4E4AB35F"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sz w:val="26"/>
                <w:szCs w:val="26"/>
              </w:rPr>
            </w:pPr>
            <w:r w:rsidRPr="00195464">
              <w:rPr>
                <w:rFonts w:ascii="Times New Roman" w:eastAsia="Calibri" w:hAnsi="Times New Roman" w:cs="Times New Roman"/>
                <w:sz w:val="26"/>
                <w:szCs w:val="26"/>
              </w:rPr>
              <w:t>- “Про внесення змін до деяких законодавчих актів України (Господарського процесуального кодексу України, Кодексу адміністративного судочинства, Цивільного кодексу України) для забезпечення використання офіційної електронної адреси” (реєстр. № 3860 від  16.07.2020);</w:t>
            </w:r>
          </w:p>
          <w:p w14:paraId="22D00FA4"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sz w:val="26"/>
                <w:szCs w:val="26"/>
              </w:rPr>
            </w:pPr>
            <w:r w:rsidRPr="00195464">
              <w:rPr>
                <w:rFonts w:ascii="Times New Roman" w:eastAsia="Calibri" w:hAnsi="Times New Roman" w:cs="Times New Roman"/>
                <w:sz w:val="26"/>
                <w:szCs w:val="26"/>
              </w:rPr>
              <w:t>- “Про внесення змін до деяких законодавчих актів України щодо присвоєння та використання офіційної електронної адреси” (реєстр. № 3861 від  16.07.2020);</w:t>
            </w:r>
          </w:p>
          <w:p w14:paraId="22F4CF09"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 “Про внесення змін до деяких законодавчих актів України щодо використання офіційної електронної адреси” (реєстр. № 3860-1 від   08.08.2020). </w:t>
            </w:r>
          </w:p>
          <w:p w14:paraId="24B7588C"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iCs/>
                <w:sz w:val="26"/>
                <w:szCs w:val="26"/>
              </w:rPr>
            </w:pPr>
            <w:r w:rsidRPr="00195464">
              <w:rPr>
                <w:rFonts w:ascii="Times New Roman" w:eastAsia="Calibri" w:hAnsi="Times New Roman" w:cs="Times New Roman"/>
                <w:iCs/>
                <w:sz w:val="26"/>
                <w:szCs w:val="26"/>
              </w:rPr>
              <w:t>Ураховуючи зазначене, Міністерством юстиції України підготовлено та направлено до Кабінету Міністрів України лист від  27.08.2020 № 6893/8.4.4/4-20 та від  25.09.2020 № 7634/8.4.4/4-20 з проханням розглянути можливість зняття з контролю зазначеного заходу, як такого, що є виконаним.</w:t>
            </w:r>
          </w:p>
          <w:p w14:paraId="28CCC941"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i/>
                <w:iCs/>
                <w:kern w:val="1"/>
                <w:sz w:val="26"/>
                <w:szCs w:val="26"/>
                <w:lang w:eastAsia="ru-RU" w:bidi="hi-IN"/>
              </w:rPr>
              <w:t>Міністерством юстиції України не повідомляється стосовно позиції Кабінету Міністрів України з цього приводу. Мінекономіки також вважає зняття зазначеного заходу з контролю передчасним, оскільки завдання передбачає</w:t>
            </w:r>
            <w:r w:rsidRPr="00195464">
              <w:rPr>
                <w:rFonts w:ascii="Times New Roman" w:eastAsia="Times New Roman" w:hAnsi="Times New Roman" w:cs="Times New Roman"/>
                <w:kern w:val="1"/>
                <w:sz w:val="26"/>
                <w:szCs w:val="26"/>
                <w:lang w:eastAsia="ru-RU" w:bidi="hi-IN"/>
              </w:rPr>
              <w:t xml:space="preserve"> </w:t>
            </w:r>
            <w:r w:rsidRPr="00195464">
              <w:rPr>
                <w:rFonts w:ascii="Times New Roman" w:eastAsia="Times New Roman" w:hAnsi="Times New Roman" w:cs="Times New Roman"/>
                <w:i/>
                <w:iCs/>
                <w:kern w:val="1"/>
                <w:sz w:val="26"/>
                <w:szCs w:val="26"/>
                <w:lang w:eastAsia="ru-RU" w:bidi="hi-IN"/>
              </w:rPr>
              <w:t>супроводження законопроекту до прийняття.</w:t>
            </w:r>
          </w:p>
        </w:tc>
      </w:tr>
      <w:tr w:rsidR="005F6D10" w:rsidRPr="00195464" w14:paraId="1E103385" w14:textId="77777777" w:rsidTr="005F6D10">
        <w:tc>
          <w:tcPr>
            <w:tcW w:w="993" w:type="dxa"/>
            <w:shd w:val="clear" w:color="auto" w:fill="auto"/>
          </w:tcPr>
          <w:p w14:paraId="79A76571"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23.</w:t>
            </w:r>
          </w:p>
        </w:tc>
        <w:tc>
          <w:tcPr>
            <w:tcW w:w="2835" w:type="dxa"/>
            <w:shd w:val="clear" w:color="auto" w:fill="auto"/>
          </w:tcPr>
          <w:p w14:paraId="25EBA9C5"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Запровадження медіації в Україні</w:t>
            </w:r>
          </w:p>
        </w:tc>
        <w:tc>
          <w:tcPr>
            <w:tcW w:w="2835" w:type="dxa"/>
            <w:shd w:val="clear" w:color="auto" w:fill="auto"/>
          </w:tcPr>
          <w:p w14:paraId="5CDCBF02"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розроблення та внесення на розгляд Верховної Ради України законопроекту про медіацію</w:t>
            </w:r>
          </w:p>
          <w:p w14:paraId="1B98A4C4"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p>
          <w:p w14:paraId="49F5C267"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супроводження у Верховній Раді України законопроекту</w:t>
            </w:r>
          </w:p>
        </w:tc>
        <w:tc>
          <w:tcPr>
            <w:tcW w:w="1984" w:type="dxa"/>
            <w:shd w:val="clear" w:color="auto" w:fill="auto"/>
          </w:tcPr>
          <w:p w14:paraId="742FC308"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Мін’юст</w:t>
            </w:r>
          </w:p>
          <w:p w14:paraId="6759ED09"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p>
        </w:tc>
        <w:tc>
          <w:tcPr>
            <w:tcW w:w="1560" w:type="dxa"/>
            <w:shd w:val="clear" w:color="auto" w:fill="FFFFFF"/>
          </w:tcPr>
          <w:p w14:paraId="7FE75818"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 квартал 2020 р.</w:t>
            </w:r>
          </w:p>
          <w:p w14:paraId="692B8B26"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46862984"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23F37855"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4E5C2461"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3FEC6C5D"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до прийняття закону</w:t>
            </w:r>
          </w:p>
        </w:tc>
        <w:tc>
          <w:tcPr>
            <w:tcW w:w="5528" w:type="dxa"/>
            <w:shd w:val="clear" w:color="auto" w:fill="auto"/>
          </w:tcPr>
          <w:p w14:paraId="6C05FE6E" w14:textId="77777777" w:rsidR="005F6D10" w:rsidRPr="00195464" w:rsidRDefault="005F6D10" w:rsidP="005F6D10">
            <w:pPr>
              <w:keepNext/>
              <w:shd w:val="clear" w:color="auto" w:fill="FFFFFF"/>
              <w:suppressAutoHyphens/>
              <w:spacing w:before="60" w:after="0" w:line="240" w:lineRule="auto"/>
              <w:ind w:firstLine="176"/>
              <w:jc w:val="both"/>
              <w:outlineLvl w:val="2"/>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На розгляді ВРУ.</w:t>
            </w:r>
          </w:p>
          <w:p w14:paraId="3CFEA936"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Міністерством юстиції України розроблено проект Закону України “Про медіацію” (реєстр. № 3504, від  19.05.2020) (далі – Законопроект). Метою Законопроекту є закріплення на законодавчому рівні інституту медіації (правового регулювання відносин у сфері медіації, зокрема, визначення сфери застосування медіації, принципів медіації, вимог до медіатора, прав та обов’язків медіатора, його відповідальності, процедури проведення медіації, прав та обов’язків сторін медіації, вимог до договору про медіацію та угоди про врегулювання конфлікту (спору) за результатами медіації). </w:t>
            </w:r>
          </w:p>
          <w:p w14:paraId="10AE6226"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sz w:val="26"/>
                <w:szCs w:val="26"/>
              </w:rPr>
            </w:pPr>
            <w:r w:rsidRPr="00195464">
              <w:rPr>
                <w:rFonts w:ascii="Times New Roman" w:eastAsia="Calibri" w:hAnsi="Times New Roman" w:cs="Times New Roman"/>
                <w:sz w:val="26"/>
                <w:szCs w:val="26"/>
              </w:rPr>
              <w:t xml:space="preserve">15.07.2020 Законопроект прийнято Верховною Радою України в першому читанні. </w:t>
            </w:r>
          </w:p>
          <w:p w14:paraId="0CF80401"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Calibri" w:hAnsi="Times New Roman" w:cs="Times New Roman"/>
                <w:sz w:val="26"/>
                <w:szCs w:val="26"/>
              </w:rPr>
            </w:pPr>
            <w:r w:rsidRPr="00195464">
              <w:rPr>
                <w:rFonts w:ascii="Times New Roman" w:eastAsia="Calibri" w:hAnsi="Times New Roman" w:cs="Times New Roman"/>
                <w:sz w:val="26"/>
                <w:szCs w:val="26"/>
              </w:rPr>
              <w:t>01.09.2020 включено до порядку денного четвертої сесії Верховної Ради України дев’ятого скликання.</w:t>
            </w:r>
          </w:p>
          <w:p w14:paraId="21BE56AF"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Готується на друге читання</w:t>
            </w:r>
          </w:p>
        </w:tc>
      </w:tr>
      <w:tr w:rsidR="005F6D10" w:rsidRPr="00195464" w14:paraId="2DADBEE9" w14:textId="77777777" w:rsidTr="005F6D10">
        <w:tc>
          <w:tcPr>
            <w:tcW w:w="993" w:type="dxa"/>
            <w:shd w:val="clear" w:color="auto" w:fill="auto"/>
          </w:tcPr>
          <w:p w14:paraId="6E9534C7"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24.</w:t>
            </w:r>
          </w:p>
        </w:tc>
        <w:tc>
          <w:tcPr>
            <w:tcW w:w="2835" w:type="dxa"/>
            <w:shd w:val="clear" w:color="auto" w:fill="auto"/>
          </w:tcPr>
          <w:p w14:paraId="6D16B0B9"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Запровадження спрощеного механізму арешту коштів як забезпечення позову</w:t>
            </w:r>
          </w:p>
        </w:tc>
        <w:tc>
          <w:tcPr>
            <w:tcW w:w="2835" w:type="dxa"/>
            <w:shd w:val="clear" w:color="auto" w:fill="auto"/>
          </w:tcPr>
          <w:p w14:paraId="1A86A1EB"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розроблення, внесення на розгляд Верховної Ради України законопроекту про внесення змін до деяких законодавчих актів України щодо запровадження системи автоматизованого арешту коштів у цивільному та господарському судочинстві</w:t>
            </w:r>
          </w:p>
          <w:p w14:paraId="39FE7FD3"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p>
          <w:p w14:paraId="737A981E"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супроводження у Верховній Раді України законопроекту</w:t>
            </w:r>
          </w:p>
        </w:tc>
        <w:tc>
          <w:tcPr>
            <w:tcW w:w="1984" w:type="dxa"/>
            <w:shd w:val="clear" w:color="auto" w:fill="auto"/>
          </w:tcPr>
          <w:p w14:paraId="412AA844"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Мін’юст</w:t>
            </w:r>
          </w:p>
          <w:p w14:paraId="1C860BCD"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5D7F7BCE"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tc>
        <w:tc>
          <w:tcPr>
            <w:tcW w:w="1560" w:type="dxa"/>
            <w:shd w:val="clear" w:color="auto" w:fill="FFFFFF"/>
          </w:tcPr>
          <w:p w14:paraId="7EBD80D9"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 квартал 2020 р.</w:t>
            </w:r>
          </w:p>
          <w:p w14:paraId="4704FE11"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2593A81F"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2CA56DDA"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61740DB3"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3C3E6D23"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41ED9AC7"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53578D92"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60DF0C9A"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67F365BB"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7F92A573"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37E229E9"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7A6E904E"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7EA2F72B"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4CF1301F"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до прийняття закону</w:t>
            </w:r>
          </w:p>
        </w:tc>
        <w:tc>
          <w:tcPr>
            <w:tcW w:w="5528" w:type="dxa"/>
            <w:shd w:val="clear" w:color="auto" w:fill="auto"/>
          </w:tcPr>
          <w:p w14:paraId="5BCFE6B5" w14:textId="77777777" w:rsidR="005F6D10" w:rsidRPr="00195464" w:rsidRDefault="005F6D10" w:rsidP="005F6D10">
            <w:pPr>
              <w:keepNext/>
              <w:shd w:val="clear" w:color="auto" w:fill="FFFFFF"/>
              <w:suppressAutoHyphens/>
              <w:spacing w:before="60" w:after="0" w:line="240" w:lineRule="auto"/>
              <w:ind w:firstLine="176"/>
              <w:jc w:val="both"/>
              <w:outlineLvl w:val="2"/>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Виконується.</w:t>
            </w:r>
          </w:p>
          <w:p w14:paraId="51D2989A"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Міністерством юстиції України розроблено проект Закону України “Про внесення змін до деяких законодавчих актів України щодо запровадження системи автоматизованого арешту коштів у цивільному та господарському судочинстві” та було направлено на погодження та висловлення позиції відповідно до Національного банку України, Вищої ради правосуддя, Державної судової адміністрації України, Міністерства цифрової трансформації України, Міністерства фінансів України та Міністерства розвитку економіки, торгівлі та сільського господарства України. </w:t>
            </w:r>
          </w:p>
          <w:p w14:paraId="17352689"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Так, Міністерство фінансів України листом                        від 14.08.2020 № 08020-03/2-5/25135 повідомило, що на сьогодні Положення про Єдину судову інформаційно-телекомунікаційну систему (далі – ЄСІТС) не затверджене, а Концепція ЄСІТС, затверджена наказом Державної судової адміністрації від  13.04.2018 № 168 та погоджена Рішенням Ради суддів України від  22.11.2019 № 97, серед напрямів, які має забезпечувати ЄСІТС, не містить відомості про систему автоматизованого арешту коштів, у зв’язку з чим розроблення нового програмного забезпечення такої системи потребуватиме виділення додаткових коштів з Державного бюджету. </w:t>
            </w:r>
          </w:p>
          <w:p w14:paraId="6D142065"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Державна судова адміністрація України листом від  14.08.2020 № 10-15322/20 запропонувала, щоб порядок функціонування системи автоматизованого арешту коштів визначався окремим нормативно-правовим актом, спільно затвердженим Державною судовою адміністрацією України та Національним банком України. Проаналізувавши вищезазначені пропозиції Міністерства фінансів України та Державної судової адміністрації України, а також, враховуючи законодавчі ініціативи та практичні заходи Міністерства юстиції України в частині запровадження автоматичного арешту коштів під час здійснення виконавчих проваджень, Міністерство юстиції України листом від  07.09.2020 № 7134/11.3.3/4-20 звернулося до Кабінету Міністрів України з проханням зняти з контролю виконання заходу, передбаченого пунктом 24 Плану дій щодо запровадження системи автоматизованого арешту коштів у цивільному та господарському судочинстві.</w:t>
            </w:r>
          </w:p>
          <w:p w14:paraId="382BBF99"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За інформацією (у робочому порядку) пропозиції Міністерства юстиції України щодо зняття з контролю погоджено. У зв’язку з цим Міністерство юстиції України вважає, що передбачене пунктом 24 завдання втратило свою актуальність.</w:t>
            </w:r>
          </w:p>
          <w:p w14:paraId="016222A2"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Водночас за результатами ІІІ кварталу 2020 року Міністерством юстиції України повідомлялося, що ним розроблено проект Закону “Про внесення змін до деяких законодавчих актів України щодо примусового виконання судових рішень і рішень інших органів” (реєстр. № 3609 від  05.06.2020), яким, зокрема, пропонується розповсюдити можливість автоматизованого арешту коштів боржника не тільки на виконавчі провадження про стягнення аліментів, а на всі категорії виконавчих проваджень. </w:t>
            </w:r>
          </w:p>
          <w:p w14:paraId="2CD7505C"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Крім того, нормами Цивільного процесуального кодексу України та Господарського процесуального кодексу України передбачається функціонування Єдиного державного реєстру виконавчих документів (далі – ЄДРВД), який повинен бути підсистемою ЄСІТС.</w:t>
            </w:r>
          </w:p>
          <w:p w14:paraId="5B32930B"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Також повідомлялося, що Міністерством юстиції України спільно з Державною судовою адміністрацією України здійснюють розроблення Положення про ЄДРВД. </w:t>
            </w:r>
          </w:p>
          <w:p w14:paraId="3E3FE620"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Відповідно до положень Цивільного процесуального кодексу України та Господарського процесуального кодексу України виконавчі листи викладаються в електронній формі з використанням ЄСІТС та протягом п’яти днів після набрання судовим рішенням законної сили виконавчий документ вноситься до ЄДРВД.</w:t>
            </w:r>
          </w:p>
          <w:p w14:paraId="346C229B"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Тому варіантом вирішення завдання є накладення такого арешту через органи примусового виконання рішень.</w:t>
            </w:r>
          </w:p>
          <w:p w14:paraId="33786B00"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i/>
                <w:kern w:val="1"/>
                <w:sz w:val="26"/>
                <w:szCs w:val="26"/>
                <w:lang w:eastAsia="ru-RU" w:bidi="hi-IN"/>
              </w:rPr>
            </w:pPr>
            <w:r w:rsidRPr="00195464">
              <w:rPr>
                <w:rFonts w:ascii="Times New Roman" w:eastAsia="Times New Roman" w:hAnsi="Times New Roman" w:cs="Times New Roman"/>
                <w:i/>
                <w:kern w:val="1"/>
                <w:sz w:val="26"/>
                <w:szCs w:val="26"/>
                <w:lang w:eastAsia="ru-RU" w:bidi="hi-IN"/>
              </w:rPr>
              <w:t>Мінекономіки вважає зняття завдання з контролю передчасним, оскільки завдання передбачає супроводження законопроекту до прийняття.</w:t>
            </w:r>
          </w:p>
        </w:tc>
      </w:tr>
      <w:tr w:rsidR="005F6D10" w:rsidRPr="00195464" w14:paraId="286765BA" w14:textId="77777777" w:rsidTr="005F6D10">
        <w:tc>
          <w:tcPr>
            <w:tcW w:w="993" w:type="dxa"/>
            <w:shd w:val="clear" w:color="auto" w:fill="auto"/>
          </w:tcPr>
          <w:p w14:paraId="7D81B74C"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25.</w:t>
            </w:r>
          </w:p>
        </w:tc>
        <w:tc>
          <w:tcPr>
            <w:tcW w:w="2835" w:type="dxa"/>
            <w:shd w:val="clear" w:color="auto" w:fill="auto"/>
          </w:tcPr>
          <w:p w14:paraId="7461E9D3"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Забезпечення неупередженого та своєчасного вирішення судом спорів, пов’язаних з провадженням господарської діяльності</w:t>
            </w:r>
          </w:p>
        </w:tc>
        <w:tc>
          <w:tcPr>
            <w:tcW w:w="2835" w:type="dxa"/>
            <w:shd w:val="clear" w:color="auto" w:fill="auto"/>
          </w:tcPr>
          <w:p w14:paraId="6B54305F"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розроблення проекту нормативно-правового акта щодо забезпечення можливості подання в режимі реального часу позову до господарського суду м. Києва</w:t>
            </w:r>
          </w:p>
        </w:tc>
        <w:tc>
          <w:tcPr>
            <w:tcW w:w="1984" w:type="dxa"/>
            <w:shd w:val="clear" w:color="auto" w:fill="auto"/>
          </w:tcPr>
          <w:p w14:paraId="17D09BEF"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ДСА </w:t>
            </w:r>
          </w:p>
          <w:p w14:paraId="38FAD732"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(за згодою)</w:t>
            </w:r>
          </w:p>
        </w:tc>
        <w:tc>
          <w:tcPr>
            <w:tcW w:w="1560" w:type="dxa"/>
            <w:shd w:val="clear" w:color="auto" w:fill="FFFFFF"/>
          </w:tcPr>
          <w:p w14:paraId="0A1E7BEC"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 квартал 2020 р.</w:t>
            </w:r>
          </w:p>
        </w:tc>
        <w:tc>
          <w:tcPr>
            <w:tcW w:w="5528" w:type="dxa"/>
            <w:shd w:val="clear" w:color="auto" w:fill="auto"/>
          </w:tcPr>
          <w:p w14:paraId="4E84CFA5" w14:textId="77777777" w:rsidR="005F6D10" w:rsidRPr="00195464" w:rsidRDefault="005F6D10" w:rsidP="005F6D10">
            <w:pPr>
              <w:keepNext/>
              <w:shd w:val="clear" w:color="auto" w:fill="FFFFFF"/>
              <w:suppressAutoHyphens/>
              <w:spacing w:before="60" w:after="0" w:line="240" w:lineRule="auto"/>
              <w:ind w:firstLine="176"/>
              <w:jc w:val="both"/>
              <w:outlineLvl w:val="2"/>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Виконується.</w:t>
            </w:r>
          </w:p>
          <w:p w14:paraId="581ECEA6"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Наказом Державної судової адміністрації України від  01.06.2020 № 247 (зі змінами) запроваджено з 01.06.2020 в дослідну експлуатацію підсистеми “Електронний суд” та “Електронний кабінет” (далі – Підсистеми) у всіх місцевих, апеляційних судах України (крім Київського апеляційного суду) та Касаційному адміністративному суді у складі Верховного Суду, та з 01.07.2020 - в Касаційному господарському суді у складі Верховного Суду. </w:t>
            </w:r>
          </w:p>
          <w:p w14:paraId="30EA8AC0"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 xml:space="preserve">Таким чином забезпечено можливість подання позовів до господарських судів в режимі реального часу у тому числі до Господарського суду м. Києва. </w:t>
            </w:r>
          </w:p>
          <w:p w14:paraId="30D9B66D"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kern w:val="1"/>
                <w:sz w:val="26"/>
                <w:szCs w:val="26"/>
                <w:lang w:eastAsia="ru-RU" w:bidi="hi-IN"/>
              </w:rPr>
              <w:t>Так з 01.01.2020 по 31.12.2020 до Господарського суду м. Києва учасниками судового процесу за допомогою підсистеми надіслано більше 1,5 тис. процесуальних документів.</w:t>
            </w:r>
          </w:p>
          <w:p w14:paraId="2B3842CC" w14:textId="77777777" w:rsidR="005F6D10" w:rsidRPr="00195464" w:rsidRDefault="005F6D10" w:rsidP="005F6D10">
            <w:pPr>
              <w:keepNext/>
              <w:shd w:val="clear" w:color="auto" w:fill="FFFFFF"/>
              <w:suppressAutoHyphens/>
              <w:spacing w:after="0" w:line="240" w:lineRule="auto"/>
              <w:ind w:firstLine="176"/>
              <w:jc w:val="both"/>
              <w:outlineLvl w:val="2"/>
              <w:rPr>
                <w:rFonts w:ascii="Times New Roman" w:eastAsia="Times New Roman" w:hAnsi="Times New Roman" w:cs="Times New Roman"/>
                <w:kern w:val="1"/>
                <w:sz w:val="26"/>
                <w:szCs w:val="26"/>
                <w:lang w:eastAsia="ru-RU" w:bidi="hi-IN"/>
              </w:rPr>
            </w:pPr>
            <w:r w:rsidRPr="00195464">
              <w:rPr>
                <w:rFonts w:ascii="Times New Roman" w:eastAsia="Times New Roman" w:hAnsi="Times New Roman" w:cs="Times New Roman"/>
                <w:i/>
                <w:iCs/>
                <w:kern w:val="1"/>
                <w:sz w:val="26"/>
                <w:szCs w:val="26"/>
                <w:lang w:eastAsia="ru-RU" w:bidi="hi-IN"/>
              </w:rPr>
              <w:t>Завдання можна буде вважати виконаним, коли за результатами проведеного тестування зазначені підсистеми “Електронний суд” та “Електронний кабінет” будуть введені в постійну експлуатацію.</w:t>
            </w:r>
          </w:p>
        </w:tc>
      </w:tr>
      <w:tr w:rsidR="005F6D10" w:rsidRPr="00195464" w14:paraId="69C1C1FE" w14:textId="77777777" w:rsidTr="005F6D10">
        <w:tc>
          <w:tcPr>
            <w:tcW w:w="15735" w:type="dxa"/>
            <w:gridSpan w:val="6"/>
            <w:shd w:val="clear" w:color="auto" w:fill="auto"/>
          </w:tcPr>
          <w:p w14:paraId="21B64D57" w14:textId="77777777" w:rsidR="005F6D10" w:rsidRPr="00195464" w:rsidRDefault="005F6D10" w:rsidP="005F6D10">
            <w:pPr>
              <w:keepNext/>
              <w:shd w:val="clear" w:color="auto" w:fill="FFFFFF"/>
              <w:suppressAutoHyphens/>
              <w:spacing w:before="60" w:after="0" w:line="240" w:lineRule="auto"/>
              <w:ind w:firstLine="176"/>
              <w:jc w:val="center"/>
              <w:outlineLvl w:val="2"/>
              <w:rPr>
                <w:rFonts w:ascii="Times New Roman" w:eastAsia="Times New Roman" w:hAnsi="Times New Roman" w:cs="Times New Roman"/>
                <w:b/>
                <w:kern w:val="1"/>
                <w:sz w:val="26"/>
                <w:szCs w:val="26"/>
                <w:lang w:eastAsia="ru-RU" w:bidi="hi-IN"/>
              </w:rPr>
            </w:pPr>
            <w:r w:rsidRPr="00195464">
              <w:rPr>
                <w:rFonts w:ascii="Times New Roman" w:eastAsia="Times New Roman" w:hAnsi="Times New Roman" w:cs="Times New Roman"/>
                <w:b/>
                <w:kern w:val="1"/>
                <w:sz w:val="26"/>
                <w:szCs w:val="26"/>
                <w:lang w:eastAsia="ru-RU" w:bidi="hi-IN"/>
              </w:rPr>
              <w:t>Урегулювання питання щодо неплатоспроможності</w:t>
            </w:r>
          </w:p>
        </w:tc>
      </w:tr>
      <w:tr w:rsidR="005F6D10" w:rsidRPr="00195464" w14:paraId="4304587E" w14:textId="77777777" w:rsidTr="005F6D10">
        <w:tc>
          <w:tcPr>
            <w:tcW w:w="993" w:type="dxa"/>
            <w:shd w:val="clear" w:color="auto" w:fill="auto"/>
          </w:tcPr>
          <w:p w14:paraId="493C20BD" w14:textId="77777777" w:rsidR="005F6D10" w:rsidRPr="00195464" w:rsidRDefault="005F6D10" w:rsidP="005F6D10">
            <w:pPr>
              <w:shd w:val="clear" w:color="auto" w:fill="FFFFFF"/>
              <w:suppressAutoHyphens/>
              <w:spacing w:after="0" w:line="240" w:lineRule="auto"/>
              <w:jc w:val="center"/>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26.</w:t>
            </w:r>
          </w:p>
        </w:tc>
        <w:tc>
          <w:tcPr>
            <w:tcW w:w="2835" w:type="dxa"/>
            <w:shd w:val="clear" w:color="auto" w:fill="auto"/>
          </w:tcPr>
          <w:p w14:paraId="22C0C8FB"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Створення єдиного державного реєстру прав власності та усіх видів обтяжень</w:t>
            </w:r>
          </w:p>
        </w:tc>
        <w:tc>
          <w:tcPr>
            <w:tcW w:w="2835" w:type="dxa"/>
            <w:shd w:val="clear" w:color="auto" w:fill="auto"/>
          </w:tcPr>
          <w:p w14:paraId="58EB0240" w14:textId="77777777" w:rsidR="005F6D10" w:rsidRPr="00195464" w:rsidRDefault="005F6D10" w:rsidP="005F6D10">
            <w:pPr>
              <w:shd w:val="clear" w:color="auto" w:fill="FFFFFF"/>
              <w:spacing w:before="60"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 xml:space="preserve">розроблення та подання на розгляд Кабінету Міністрів України законопроекту щодо створення єдиного державного реєстру прав власності та усіх видів обтяжень </w:t>
            </w:r>
          </w:p>
          <w:p w14:paraId="4AC22C83"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p>
          <w:p w14:paraId="16328093" w14:textId="77777777" w:rsidR="005F6D10" w:rsidRPr="00195464" w:rsidRDefault="005F6D10" w:rsidP="005F6D10">
            <w:pPr>
              <w:shd w:val="clear" w:color="auto" w:fill="FFFFFF"/>
              <w:spacing w:after="0" w:line="240" w:lineRule="auto"/>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супроводження у Верховній Раді України законопроекту</w:t>
            </w:r>
          </w:p>
        </w:tc>
        <w:tc>
          <w:tcPr>
            <w:tcW w:w="1984" w:type="dxa"/>
            <w:shd w:val="clear" w:color="auto" w:fill="auto"/>
          </w:tcPr>
          <w:p w14:paraId="2A7B38DB"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Мін’юст</w:t>
            </w:r>
          </w:p>
          <w:p w14:paraId="5440FEE7"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p>
        </w:tc>
        <w:tc>
          <w:tcPr>
            <w:tcW w:w="1560" w:type="dxa"/>
            <w:shd w:val="clear" w:color="auto" w:fill="FFFFFF"/>
          </w:tcPr>
          <w:p w14:paraId="5C7FB97C" w14:textId="77777777" w:rsidR="005F6D10" w:rsidRPr="00195464" w:rsidRDefault="005F6D10" w:rsidP="005F6D10">
            <w:pPr>
              <w:shd w:val="clear" w:color="auto" w:fill="FFFFFF"/>
              <w:spacing w:before="60"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II квартал 2020 р.</w:t>
            </w:r>
          </w:p>
          <w:p w14:paraId="2AFBB486"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1549306E"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33D3A4D5"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5967540C"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6C1033F0"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44A56763"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187C1BB5"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p>
          <w:p w14:paraId="6C3FA0F4" w14:textId="77777777" w:rsidR="005F6D10" w:rsidRPr="00195464" w:rsidRDefault="005F6D10" w:rsidP="005F6D10">
            <w:pPr>
              <w:shd w:val="clear" w:color="auto" w:fill="FFFFFF"/>
              <w:spacing w:after="0" w:line="240" w:lineRule="auto"/>
              <w:jc w:val="center"/>
              <w:rPr>
                <w:rFonts w:ascii="Times New Roman" w:eastAsia="Times New Roman" w:hAnsi="Times New Roman" w:cs="Times New Roman"/>
                <w:sz w:val="26"/>
                <w:szCs w:val="26"/>
                <w:lang w:eastAsia="ru-RU"/>
              </w:rPr>
            </w:pPr>
            <w:r w:rsidRPr="00195464">
              <w:rPr>
                <w:rFonts w:ascii="Times New Roman" w:eastAsia="Times New Roman" w:hAnsi="Times New Roman" w:cs="Times New Roman"/>
                <w:sz w:val="26"/>
                <w:szCs w:val="26"/>
                <w:lang w:eastAsia="ru-RU"/>
              </w:rPr>
              <w:t>до прийняття закону</w:t>
            </w:r>
          </w:p>
        </w:tc>
        <w:tc>
          <w:tcPr>
            <w:tcW w:w="5528" w:type="dxa"/>
            <w:shd w:val="clear" w:color="auto" w:fill="auto"/>
          </w:tcPr>
          <w:p w14:paraId="600EA54D" w14:textId="77777777" w:rsidR="005F6D10" w:rsidRPr="00195464" w:rsidRDefault="005F6D10" w:rsidP="005F6D10">
            <w:pPr>
              <w:shd w:val="clear" w:color="auto" w:fill="FFFFFF"/>
              <w:suppressAutoHyphens/>
              <w:spacing w:before="60" w:after="0" w:line="240" w:lineRule="auto"/>
              <w:ind w:firstLine="172"/>
              <w:jc w:val="both"/>
              <w:rPr>
                <w:rFonts w:ascii="Times New Roman" w:eastAsia="Times New Roman" w:hAnsi="Times New Roman" w:cs="Times New Roman"/>
                <w:b/>
                <w:kern w:val="1"/>
                <w:sz w:val="26"/>
                <w:szCs w:val="26"/>
                <w:lang w:eastAsia="hi-IN" w:bidi="hi-IN"/>
              </w:rPr>
            </w:pPr>
            <w:r w:rsidRPr="00195464">
              <w:rPr>
                <w:rFonts w:ascii="Times New Roman" w:eastAsia="Times New Roman" w:hAnsi="Times New Roman" w:cs="Times New Roman"/>
                <w:b/>
                <w:kern w:val="1"/>
                <w:sz w:val="26"/>
                <w:szCs w:val="26"/>
                <w:lang w:eastAsia="hi-IN" w:bidi="hi-IN"/>
              </w:rPr>
              <w:t>Виконується.</w:t>
            </w:r>
          </w:p>
          <w:p w14:paraId="2CE87422" w14:textId="77777777" w:rsidR="005F6D10" w:rsidRPr="00195464" w:rsidRDefault="005F6D10" w:rsidP="005F6D10">
            <w:pPr>
              <w:shd w:val="clear" w:color="auto" w:fill="FFFFFF"/>
              <w:suppressAutoHyphens/>
              <w:spacing w:after="0" w:line="240" w:lineRule="auto"/>
              <w:ind w:firstLine="172"/>
              <w:jc w:val="both"/>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На сьогодні Міністерством юстиції України вживаються всі необхідні заходи щодо виконання зазначеного завдання.</w:t>
            </w:r>
          </w:p>
          <w:p w14:paraId="6CBC0B2C" w14:textId="77777777" w:rsidR="005F6D10" w:rsidRPr="00195464" w:rsidRDefault="005F6D10" w:rsidP="005F6D10">
            <w:pPr>
              <w:shd w:val="clear" w:color="auto" w:fill="FFFFFF"/>
              <w:suppressAutoHyphens/>
              <w:spacing w:after="0" w:line="240" w:lineRule="auto"/>
              <w:ind w:firstLine="172"/>
              <w:jc w:val="both"/>
              <w:rPr>
                <w:rFonts w:ascii="Times New Roman" w:eastAsia="Times New Roman" w:hAnsi="Times New Roman" w:cs="Times New Roman"/>
                <w:kern w:val="1"/>
                <w:sz w:val="26"/>
                <w:szCs w:val="26"/>
                <w:lang w:eastAsia="hi-IN" w:bidi="hi-IN"/>
              </w:rPr>
            </w:pPr>
            <w:r w:rsidRPr="00195464">
              <w:rPr>
                <w:rFonts w:ascii="Times New Roman" w:eastAsia="Times New Roman" w:hAnsi="Times New Roman" w:cs="Times New Roman"/>
                <w:kern w:val="1"/>
                <w:sz w:val="26"/>
                <w:szCs w:val="26"/>
                <w:lang w:eastAsia="hi-IN" w:bidi="hi-IN"/>
              </w:rPr>
              <w:t>Водночас, розроблення законопроекту щодо створення єдиного державного реєстру прав власності та усіх видів обтяжень для подання його на розгляд Кабінету Міністрів України потребує більше часу.</w:t>
            </w:r>
          </w:p>
          <w:p w14:paraId="05059A7D" w14:textId="77777777" w:rsidR="005F6D10" w:rsidRPr="00195464" w:rsidRDefault="005F6D10" w:rsidP="005F6D10">
            <w:pPr>
              <w:shd w:val="clear" w:color="auto" w:fill="FFFFFF"/>
              <w:suppressAutoHyphens/>
              <w:spacing w:after="0" w:line="240" w:lineRule="auto"/>
              <w:ind w:firstLine="172"/>
              <w:jc w:val="both"/>
              <w:rPr>
                <w:rFonts w:ascii="Times New Roman" w:eastAsia="Times New Roman" w:hAnsi="Times New Roman" w:cs="Times New Roman"/>
                <w:kern w:val="1"/>
                <w:sz w:val="26"/>
                <w:szCs w:val="26"/>
                <w:lang w:eastAsia="hi-IN" w:bidi="hi-IN"/>
              </w:rPr>
            </w:pPr>
          </w:p>
        </w:tc>
      </w:tr>
    </w:tbl>
    <w:p w14:paraId="18C3C4A0" w14:textId="3A76A16B" w:rsidR="005F6D10" w:rsidRPr="00195464" w:rsidRDefault="005F6D10" w:rsidP="005F6D10">
      <w:pPr>
        <w:shd w:val="clear" w:color="auto" w:fill="FFFFFF"/>
        <w:spacing w:before="240" w:after="0" w:line="240" w:lineRule="auto"/>
        <w:rPr>
          <w:rFonts w:ascii="Times New Roman" w:eastAsia="Times New Roman" w:hAnsi="Times New Roman" w:cs="Times New Roman"/>
          <w:color w:val="000000"/>
          <w:spacing w:val="-3"/>
          <w:sz w:val="24"/>
          <w:szCs w:val="24"/>
          <w:lang w:eastAsia="ru-RU"/>
        </w:rPr>
      </w:pPr>
    </w:p>
    <w:sectPr w:rsidR="005F6D10" w:rsidRPr="00195464" w:rsidSect="00542F28">
      <w:pgSz w:w="16838" w:h="11906" w:orient="landscape"/>
      <w:pgMar w:top="1134" w:right="1134" w:bottom="850"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tiqua">
    <w:altName w:val="Bahnschrift Light"/>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15pt;visibility:visible" o:bullet="t">
        <v:imagedata r:id="rId1" o:title=""/>
      </v:shape>
    </w:pict>
  </w:numPicBullet>
  <w:abstractNum w:abstractNumId="0" w15:restartNumberingAfterBreak="0">
    <w:nsid w:val="00000001"/>
    <w:multiLevelType w:val="multilevel"/>
    <w:tmpl w:val="00000001"/>
    <w:name w:val="WWNum2"/>
    <w:lvl w:ilvl="0">
      <w:start w:val="1"/>
      <w:numFmt w:val="decimal"/>
      <w:lvlText w:val="%1."/>
      <w:lvlJc w:val="left"/>
      <w:pPr>
        <w:tabs>
          <w:tab w:val="num" w:pos="0"/>
        </w:tabs>
        <w:ind w:left="1834" w:hanging="1125"/>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0000002"/>
    <w:multiLevelType w:val="multilevel"/>
    <w:tmpl w:val="00000002"/>
    <w:name w:val="WWNum9"/>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15:restartNumberingAfterBreak="0">
    <w:nsid w:val="00000003"/>
    <w:multiLevelType w:val="multilevel"/>
    <w:tmpl w:val="00000003"/>
    <w:name w:val="WWNum11"/>
    <w:lvl w:ilvl="0">
      <w:start w:val="1"/>
      <w:numFmt w:val="decimal"/>
      <w:lvlText w:val="%1."/>
      <w:lvlJc w:val="left"/>
      <w:pPr>
        <w:tabs>
          <w:tab w:val="num" w:pos="0"/>
        </w:tabs>
        <w:ind w:left="1102" w:hanging="360"/>
      </w:pPr>
    </w:lvl>
    <w:lvl w:ilvl="1">
      <w:start w:val="1"/>
      <w:numFmt w:val="lowerLetter"/>
      <w:lvlText w:val="%2."/>
      <w:lvlJc w:val="left"/>
      <w:pPr>
        <w:tabs>
          <w:tab w:val="num" w:pos="0"/>
        </w:tabs>
        <w:ind w:left="1822" w:hanging="360"/>
      </w:pPr>
    </w:lvl>
    <w:lvl w:ilvl="2">
      <w:start w:val="1"/>
      <w:numFmt w:val="lowerRoman"/>
      <w:lvlText w:val="%2.%3."/>
      <w:lvlJc w:val="left"/>
      <w:pPr>
        <w:tabs>
          <w:tab w:val="num" w:pos="0"/>
        </w:tabs>
        <w:ind w:left="2542" w:hanging="180"/>
      </w:pPr>
    </w:lvl>
    <w:lvl w:ilvl="3">
      <w:start w:val="1"/>
      <w:numFmt w:val="decimal"/>
      <w:lvlText w:val="%2.%3.%4."/>
      <w:lvlJc w:val="left"/>
      <w:pPr>
        <w:tabs>
          <w:tab w:val="num" w:pos="0"/>
        </w:tabs>
        <w:ind w:left="3262" w:hanging="360"/>
      </w:pPr>
    </w:lvl>
    <w:lvl w:ilvl="4">
      <w:start w:val="1"/>
      <w:numFmt w:val="lowerLetter"/>
      <w:lvlText w:val="%2.%3.%4.%5."/>
      <w:lvlJc w:val="left"/>
      <w:pPr>
        <w:tabs>
          <w:tab w:val="num" w:pos="0"/>
        </w:tabs>
        <w:ind w:left="3982" w:hanging="360"/>
      </w:pPr>
    </w:lvl>
    <w:lvl w:ilvl="5">
      <w:start w:val="1"/>
      <w:numFmt w:val="lowerRoman"/>
      <w:lvlText w:val="%2.%3.%4.%5.%6."/>
      <w:lvlJc w:val="left"/>
      <w:pPr>
        <w:tabs>
          <w:tab w:val="num" w:pos="0"/>
        </w:tabs>
        <w:ind w:left="4702" w:hanging="180"/>
      </w:pPr>
    </w:lvl>
    <w:lvl w:ilvl="6">
      <w:start w:val="1"/>
      <w:numFmt w:val="decimal"/>
      <w:lvlText w:val="%2.%3.%4.%5.%6.%7."/>
      <w:lvlJc w:val="left"/>
      <w:pPr>
        <w:tabs>
          <w:tab w:val="num" w:pos="0"/>
        </w:tabs>
        <w:ind w:left="5422" w:hanging="360"/>
      </w:pPr>
    </w:lvl>
    <w:lvl w:ilvl="7">
      <w:start w:val="1"/>
      <w:numFmt w:val="lowerLetter"/>
      <w:lvlText w:val="%2.%3.%4.%5.%6.%7.%8."/>
      <w:lvlJc w:val="left"/>
      <w:pPr>
        <w:tabs>
          <w:tab w:val="num" w:pos="0"/>
        </w:tabs>
        <w:ind w:left="6142" w:hanging="360"/>
      </w:pPr>
    </w:lvl>
    <w:lvl w:ilvl="8">
      <w:start w:val="1"/>
      <w:numFmt w:val="lowerRoman"/>
      <w:lvlText w:val="%2.%3.%4.%5.%6.%7.%8.%9."/>
      <w:lvlJc w:val="left"/>
      <w:pPr>
        <w:tabs>
          <w:tab w:val="num" w:pos="0"/>
        </w:tabs>
        <w:ind w:left="6862"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593967"/>
    <w:multiLevelType w:val="hybridMultilevel"/>
    <w:tmpl w:val="9A424D7E"/>
    <w:lvl w:ilvl="0" w:tplc="149ACB3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047D5CA2"/>
    <w:multiLevelType w:val="hybridMultilevel"/>
    <w:tmpl w:val="FBF44BA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6423FEE"/>
    <w:multiLevelType w:val="hybridMultilevel"/>
    <w:tmpl w:val="A8B46B34"/>
    <w:lvl w:ilvl="0" w:tplc="38EC2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A30CD5"/>
    <w:multiLevelType w:val="hybridMultilevel"/>
    <w:tmpl w:val="16225EF4"/>
    <w:lvl w:ilvl="0" w:tplc="24D68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303434"/>
    <w:multiLevelType w:val="hybridMultilevel"/>
    <w:tmpl w:val="F5FA34A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03776A9"/>
    <w:multiLevelType w:val="hybridMultilevel"/>
    <w:tmpl w:val="20BAF568"/>
    <w:lvl w:ilvl="0" w:tplc="04190011">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15:restartNumberingAfterBreak="0">
    <w:nsid w:val="3E0B5AD1"/>
    <w:multiLevelType w:val="hybridMultilevel"/>
    <w:tmpl w:val="74CA0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3C363AA"/>
    <w:multiLevelType w:val="hybridMultilevel"/>
    <w:tmpl w:val="8D72D8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8C6095D"/>
    <w:multiLevelType w:val="hybridMultilevel"/>
    <w:tmpl w:val="451E0F5E"/>
    <w:lvl w:ilvl="0" w:tplc="6C56B8E2">
      <w:start w:val="5"/>
      <w:numFmt w:val="bullet"/>
      <w:lvlText w:val="-"/>
      <w:lvlJc w:val="left"/>
      <w:pPr>
        <w:ind w:left="928" w:hanging="360"/>
      </w:pPr>
      <w:rPr>
        <w:rFonts w:ascii="Calibri" w:eastAsia="Calibri" w:hAnsi="Calibri"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DE0797"/>
    <w:multiLevelType w:val="hybridMultilevel"/>
    <w:tmpl w:val="B0C2B5C0"/>
    <w:lvl w:ilvl="0" w:tplc="24D68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E60513"/>
    <w:multiLevelType w:val="hybridMultilevel"/>
    <w:tmpl w:val="A2029F7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B3933A8"/>
    <w:multiLevelType w:val="hybridMultilevel"/>
    <w:tmpl w:val="D2E2AB1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CE27B65"/>
    <w:multiLevelType w:val="hybridMultilevel"/>
    <w:tmpl w:val="54F479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79B5614C"/>
    <w:multiLevelType w:val="hybridMultilevel"/>
    <w:tmpl w:val="D91EE458"/>
    <w:lvl w:ilvl="0" w:tplc="24D68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10"/>
  </w:num>
  <w:num w:numId="7">
    <w:abstractNumId w:val="7"/>
  </w:num>
  <w:num w:numId="8">
    <w:abstractNumId w:val="6"/>
  </w:num>
  <w:num w:numId="9">
    <w:abstractNumId w:val="13"/>
  </w:num>
  <w:num w:numId="10">
    <w:abstractNumId w:val="16"/>
  </w:num>
  <w:num w:numId="11">
    <w:abstractNumId w:val="17"/>
  </w:num>
  <w:num w:numId="12">
    <w:abstractNumId w:val="9"/>
  </w:num>
  <w:num w:numId="13">
    <w:abstractNumId w:val="15"/>
  </w:num>
  <w:num w:numId="14">
    <w:abstractNumId w:val="4"/>
  </w:num>
  <w:num w:numId="15">
    <w:abstractNumId w:val="5"/>
  </w:num>
  <w:num w:numId="16">
    <w:abstractNumId w:val="1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EA"/>
    <w:rsid w:val="000024A9"/>
    <w:rsid w:val="00002865"/>
    <w:rsid w:val="00011698"/>
    <w:rsid w:val="0001365D"/>
    <w:rsid w:val="000137D2"/>
    <w:rsid w:val="00016E14"/>
    <w:rsid w:val="00016EB2"/>
    <w:rsid w:val="0003165D"/>
    <w:rsid w:val="00037168"/>
    <w:rsid w:val="00045792"/>
    <w:rsid w:val="00052BFA"/>
    <w:rsid w:val="000542AE"/>
    <w:rsid w:val="000568B3"/>
    <w:rsid w:val="00057C1A"/>
    <w:rsid w:val="00057EA2"/>
    <w:rsid w:val="00060863"/>
    <w:rsid w:val="0006442D"/>
    <w:rsid w:val="0007326C"/>
    <w:rsid w:val="00074B8E"/>
    <w:rsid w:val="0007566E"/>
    <w:rsid w:val="000853DA"/>
    <w:rsid w:val="00090D02"/>
    <w:rsid w:val="00091F92"/>
    <w:rsid w:val="00092015"/>
    <w:rsid w:val="000B173E"/>
    <w:rsid w:val="000B419C"/>
    <w:rsid w:val="000C05E8"/>
    <w:rsid w:val="000C0689"/>
    <w:rsid w:val="000D31FC"/>
    <w:rsid w:val="000D3419"/>
    <w:rsid w:val="000D7E38"/>
    <w:rsid w:val="000F0EBA"/>
    <w:rsid w:val="000F61C6"/>
    <w:rsid w:val="000F75E6"/>
    <w:rsid w:val="000F78BA"/>
    <w:rsid w:val="00104F26"/>
    <w:rsid w:val="001058C5"/>
    <w:rsid w:val="00112A13"/>
    <w:rsid w:val="0011329B"/>
    <w:rsid w:val="00116761"/>
    <w:rsid w:val="00121BA8"/>
    <w:rsid w:val="0012351E"/>
    <w:rsid w:val="001235FE"/>
    <w:rsid w:val="00125833"/>
    <w:rsid w:val="00143492"/>
    <w:rsid w:val="001434CC"/>
    <w:rsid w:val="001634B4"/>
    <w:rsid w:val="001666CA"/>
    <w:rsid w:val="001721EE"/>
    <w:rsid w:val="00184074"/>
    <w:rsid w:val="00195464"/>
    <w:rsid w:val="00196C19"/>
    <w:rsid w:val="001978DE"/>
    <w:rsid w:val="001B0723"/>
    <w:rsid w:val="001B2EB8"/>
    <w:rsid w:val="001B6174"/>
    <w:rsid w:val="001D02A2"/>
    <w:rsid w:val="001D2721"/>
    <w:rsid w:val="001D2954"/>
    <w:rsid w:val="001D2F57"/>
    <w:rsid w:val="001D3B23"/>
    <w:rsid w:val="001E0F80"/>
    <w:rsid w:val="001E466C"/>
    <w:rsid w:val="001F4025"/>
    <w:rsid w:val="00204979"/>
    <w:rsid w:val="00217DEB"/>
    <w:rsid w:val="00222401"/>
    <w:rsid w:val="002247A9"/>
    <w:rsid w:val="00224B46"/>
    <w:rsid w:val="00226956"/>
    <w:rsid w:val="00227E74"/>
    <w:rsid w:val="00233CC1"/>
    <w:rsid w:val="00234B4D"/>
    <w:rsid w:val="002446F5"/>
    <w:rsid w:val="0024564A"/>
    <w:rsid w:val="00246161"/>
    <w:rsid w:val="00246F0A"/>
    <w:rsid w:val="00247F81"/>
    <w:rsid w:val="00257485"/>
    <w:rsid w:val="0026589E"/>
    <w:rsid w:val="00271136"/>
    <w:rsid w:val="00277968"/>
    <w:rsid w:val="002802A8"/>
    <w:rsid w:val="00284FA5"/>
    <w:rsid w:val="00290A92"/>
    <w:rsid w:val="00293963"/>
    <w:rsid w:val="002959C9"/>
    <w:rsid w:val="00297C1A"/>
    <w:rsid w:val="002C24E8"/>
    <w:rsid w:val="002C5BA4"/>
    <w:rsid w:val="002D0E86"/>
    <w:rsid w:val="002D1E00"/>
    <w:rsid w:val="002D33D9"/>
    <w:rsid w:val="002D3BEC"/>
    <w:rsid w:val="002D406B"/>
    <w:rsid w:val="002F41D4"/>
    <w:rsid w:val="002F71AD"/>
    <w:rsid w:val="0030015C"/>
    <w:rsid w:val="00302DCF"/>
    <w:rsid w:val="00303D2E"/>
    <w:rsid w:val="00327FB2"/>
    <w:rsid w:val="0033644C"/>
    <w:rsid w:val="0034204B"/>
    <w:rsid w:val="003438D2"/>
    <w:rsid w:val="003461A2"/>
    <w:rsid w:val="003478A9"/>
    <w:rsid w:val="00353609"/>
    <w:rsid w:val="00360173"/>
    <w:rsid w:val="0037027D"/>
    <w:rsid w:val="00373593"/>
    <w:rsid w:val="003737CD"/>
    <w:rsid w:val="00373A98"/>
    <w:rsid w:val="003A2689"/>
    <w:rsid w:val="003A486F"/>
    <w:rsid w:val="003A487F"/>
    <w:rsid w:val="003B01BB"/>
    <w:rsid w:val="003B24AC"/>
    <w:rsid w:val="003B393B"/>
    <w:rsid w:val="003B4AA3"/>
    <w:rsid w:val="003B7594"/>
    <w:rsid w:val="003C0DCA"/>
    <w:rsid w:val="003C3113"/>
    <w:rsid w:val="003C3D7A"/>
    <w:rsid w:val="003C7905"/>
    <w:rsid w:val="003D3F1D"/>
    <w:rsid w:val="003D55CC"/>
    <w:rsid w:val="003E2B56"/>
    <w:rsid w:val="003E3DDA"/>
    <w:rsid w:val="003E72A9"/>
    <w:rsid w:val="003F1E8D"/>
    <w:rsid w:val="003F37F0"/>
    <w:rsid w:val="003F3ED7"/>
    <w:rsid w:val="003F7733"/>
    <w:rsid w:val="00402E8A"/>
    <w:rsid w:val="004149CC"/>
    <w:rsid w:val="00415EEE"/>
    <w:rsid w:val="00421C20"/>
    <w:rsid w:val="00425E6B"/>
    <w:rsid w:val="00433328"/>
    <w:rsid w:val="00446029"/>
    <w:rsid w:val="0045734F"/>
    <w:rsid w:val="00463AF2"/>
    <w:rsid w:val="00484CC7"/>
    <w:rsid w:val="00493032"/>
    <w:rsid w:val="004955D4"/>
    <w:rsid w:val="00496FDB"/>
    <w:rsid w:val="004A140C"/>
    <w:rsid w:val="004A27EF"/>
    <w:rsid w:val="004B6DAC"/>
    <w:rsid w:val="004C0D48"/>
    <w:rsid w:val="004C4BEF"/>
    <w:rsid w:val="004D2695"/>
    <w:rsid w:val="004D789A"/>
    <w:rsid w:val="004D7A8F"/>
    <w:rsid w:val="004E1BA8"/>
    <w:rsid w:val="004E2BD9"/>
    <w:rsid w:val="004E69CE"/>
    <w:rsid w:val="004F5B5F"/>
    <w:rsid w:val="004F67B1"/>
    <w:rsid w:val="005023CD"/>
    <w:rsid w:val="00504EF5"/>
    <w:rsid w:val="00506933"/>
    <w:rsid w:val="005115A9"/>
    <w:rsid w:val="00512DDA"/>
    <w:rsid w:val="00522B19"/>
    <w:rsid w:val="00522D54"/>
    <w:rsid w:val="005262FF"/>
    <w:rsid w:val="00535038"/>
    <w:rsid w:val="00541A8A"/>
    <w:rsid w:val="00542F28"/>
    <w:rsid w:val="005435A8"/>
    <w:rsid w:val="00557CC9"/>
    <w:rsid w:val="00561495"/>
    <w:rsid w:val="00562BF0"/>
    <w:rsid w:val="0056393C"/>
    <w:rsid w:val="005663C3"/>
    <w:rsid w:val="00567447"/>
    <w:rsid w:val="00571159"/>
    <w:rsid w:val="00571DCA"/>
    <w:rsid w:val="00572CDC"/>
    <w:rsid w:val="00581356"/>
    <w:rsid w:val="00587365"/>
    <w:rsid w:val="0059014B"/>
    <w:rsid w:val="0059524F"/>
    <w:rsid w:val="005A2CD5"/>
    <w:rsid w:val="005B270A"/>
    <w:rsid w:val="005B3F5A"/>
    <w:rsid w:val="005B417C"/>
    <w:rsid w:val="005B692B"/>
    <w:rsid w:val="005C4389"/>
    <w:rsid w:val="005E0902"/>
    <w:rsid w:val="005E200A"/>
    <w:rsid w:val="005E4A80"/>
    <w:rsid w:val="005E5887"/>
    <w:rsid w:val="005E72EA"/>
    <w:rsid w:val="005F62CB"/>
    <w:rsid w:val="005F6D10"/>
    <w:rsid w:val="0060060A"/>
    <w:rsid w:val="00601F49"/>
    <w:rsid w:val="00604D73"/>
    <w:rsid w:val="00607ABB"/>
    <w:rsid w:val="00610379"/>
    <w:rsid w:val="006139CC"/>
    <w:rsid w:val="00620077"/>
    <w:rsid w:val="00621333"/>
    <w:rsid w:val="00621FEE"/>
    <w:rsid w:val="00637284"/>
    <w:rsid w:val="006748F9"/>
    <w:rsid w:val="00677C20"/>
    <w:rsid w:val="00682A0B"/>
    <w:rsid w:val="006A1DC8"/>
    <w:rsid w:val="006A599B"/>
    <w:rsid w:val="006A7DC9"/>
    <w:rsid w:val="006A7FC5"/>
    <w:rsid w:val="006B350B"/>
    <w:rsid w:val="006C1FB7"/>
    <w:rsid w:val="006D0274"/>
    <w:rsid w:val="006D3369"/>
    <w:rsid w:val="006D610E"/>
    <w:rsid w:val="006E2F17"/>
    <w:rsid w:val="006E42BA"/>
    <w:rsid w:val="006F47A8"/>
    <w:rsid w:val="007101A0"/>
    <w:rsid w:val="00725E78"/>
    <w:rsid w:val="007346E6"/>
    <w:rsid w:val="007371DE"/>
    <w:rsid w:val="00753257"/>
    <w:rsid w:val="00762412"/>
    <w:rsid w:val="00763406"/>
    <w:rsid w:val="00790767"/>
    <w:rsid w:val="007907D5"/>
    <w:rsid w:val="007936E2"/>
    <w:rsid w:val="007941B7"/>
    <w:rsid w:val="00794265"/>
    <w:rsid w:val="007A323F"/>
    <w:rsid w:val="007A6AD3"/>
    <w:rsid w:val="007B6671"/>
    <w:rsid w:val="007C0F62"/>
    <w:rsid w:val="007C1F5A"/>
    <w:rsid w:val="007C2854"/>
    <w:rsid w:val="007C33E4"/>
    <w:rsid w:val="007C4CD3"/>
    <w:rsid w:val="007C7370"/>
    <w:rsid w:val="007D26FB"/>
    <w:rsid w:val="007D457B"/>
    <w:rsid w:val="007E62B4"/>
    <w:rsid w:val="007F338A"/>
    <w:rsid w:val="007F3E56"/>
    <w:rsid w:val="00806967"/>
    <w:rsid w:val="0080790B"/>
    <w:rsid w:val="00807E31"/>
    <w:rsid w:val="00811135"/>
    <w:rsid w:val="00812FED"/>
    <w:rsid w:val="00827CCC"/>
    <w:rsid w:val="00831E60"/>
    <w:rsid w:val="00837579"/>
    <w:rsid w:val="008422BB"/>
    <w:rsid w:val="0084251D"/>
    <w:rsid w:val="008425CD"/>
    <w:rsid w:val="00842A59"/>
    <w:rsid w:val="0084486B"/>
    <w:rsid w:val="00847830"/>
    <w:rsid w:val="008510FF"/>
    <w:rsid w:val="0085231F"/>
    <w:rsid w:val="0086018F"/>
    <w:rsid w:val="008652AC"/>
    <w:rsid w:val="008671F3"/>
    <w:rsid w:val="00873400"/>
    <w:rsid w:val="00877E8C"/>
    <w:rsid w:val="00891340"/>
    <w:rsid w:val="0089770B"/>
    <w:rsid w:val="008978AC"/>
    <w:rsid w:val="008A2064"/>
    <w:rsid w:val="008C067A"/>
    <w:rsid w:val="008C5A6B"/>
    <w:rsid w:val="008C616E"/>
    <w:rsid w:val="008D7053"/>
    <w:rsid w:val="008D74E2"/>
    <w:rsid w:val="008E0B83"/>
    <w:rsid w:val="008E618A"/>
    <w:rsid w:val="008F53D9"/>
    <w:rsid w:val="00911FC0"/>
    <w:rsid w:val="0093037E"/>
    <w:rsid w:val="0094121F"/>
    <w:rsid w:val="0094209B"/>
    <w:rsid w:val="00943AE7"/>
    <w:rsid w:val="00952C7D"/>
    <w:rsid w:val="009677F6"/>
    <w:rsid w:val="00987ECA"/>
    <w:rsid w:val="009956C8"/>
    <w:rsid w:val="009979D4"/>
    <w:rsid w:val="009A330C"/>
    <w:rsid w:val="009A33E5"/>
    <w:rsid w:val="009A4678"/>
    <w:rsid w:val="009A522B"/>
    <w:rsid w:val="009A5E1B"/>
    <w:rsid w:val="009B7E51"/>
    <w:rsid w:val="009C5DB4"/>
    <w:rsid w:val="009C73C7"/>
    <w:rsid w:val="009D60B5"/>
    <w:rsid w:val="009D69B6"/>
    <w:rsid w:val="009E495A"/>
    <w:rsid w:val="009F5975"/>
    <w:rsid w:val="009F74F1"/>
    <w:rsid w:val="00A027E1"/>
    <w:rsid w:val="00A12F10"/>
    <w:rsid w:val="00A1347F"/>
    <w:rsid w:val="00A24D13"/>
    <w:rsid w:val="00A270DB"/>
    <w:rsid w:val="00A3014F"/>
    <w:rsid w:val="00A30649"/>
    <w:rsid w:val="00A3370E"/>
    <w:rsid w:val="00A37B8C"/>
    <w:rsid w:val="00A42C0A"/>
    <w:rsid w:val="00A46D3F"/>
    <w:rsid w:val="00A5082E"/>
    <w:rsid w:val="00A56374"/>
    <w:rsid w:val="00A57562"/>
    <w:rsid w:val="00A62309"/>
    <w:rsid w:val="00A64BD4"/>
    <w:rsid w:val="00A651B0"/>
    <w:rsid w:val="00A716AB"/>
    <w:rsid w:val="00A751BF"/>
    <w:rsid w:val="00A83295"/>
    <w:rsid w:val="00A8658F"/>
    <w:rsid w:val="00A93472"/>
    <w:rsid w:val="00AA62F8"/>
    <w:rsid w:val="00AA6E9D"/>
    <w:rsid w:val="00AB3306"/>
    <w:rsid w:val="00AB4352"/>
    <w:rsid w:val="00AB5A2F"/>
    <w:rsid w:val="00AB77C6"/>
    <w:rsid w:val="00AC394B"/>
    <w:rsid w:val="00AC5842"/>
    <w:rsid w:val="00AD3AE1"/>
    <w:rsid w:val="00AF2C31"/>
    <w:rsid w:val="00AF4C3F"/>
    <w:rsid w:val="00AF7121"/>
    <w:rsid w:val="00AF7985"/>
    <w:rsid w:val="00B032CC"/>
    <w:rsid w:val="00B079D0"/>
    <w:rsid w:val="00B07F30"/>
    <w:rsid w:val="00B13427"/>
    <w:rsid w:val="00B13A93"/>
    <w:rsid w:val="00B25FB1"/>
    <w:rsid w:val="00B30A7F"/>
    <w:rsid w:val="00B538B9"/>
    <w:rsid w:val="00B540A5"/>
    <w:rsid w:val="00B55E55"/>
    <w:rsid w:val="00B56135"/>
    <w:rsid w:val="00B631DE"/>
    <w:rsid w:val="00B65528"/>
    <w:rsid w:val="00B65D33"/>
    <w:rsid w:val="00B75F2E"/>
    <w:rsid w:val="00B76C76"/>
    <w:rsid w:val="00B8614C"/>
    <w:rsid w:val="00B86751"/>
    <w:rsid w:val="00BA07C9"/>
    <w:rsid w:val="00BA4EF6"/>
    <w:rsid w:val="00BA56C1"/>
    <w:rsid w:val="00BB1A69"/>
    <w:rsid w:val="00BB3242"/>
    <w:rsid w:val="00BB5FCB"/>
    <w:rsid w:val="00BC324F"/>
    <w:rsid w:val="00BC6A53"/>
    <w:rsid w:val="00BD6108"/>
    <w:rsid w:val="00BF3C3F"/>
    <w:rsid w:val="00BF53D7"/>
    <w:rsid w:val="00BF5B2C"/>
    <w:rsid w:val="00C1114B"/>
    <w:rsid w:val="00C16BDD"/>
    <w:rsid w:val="00C23A33"/>
    <w:rsid w:val="00C23C8F"/>
    <w:rsid w:val="00C27830"/>
    <w:rsid w:val="00C32A65"/>
    <w:rsid w:val="00C34B79"/>
    <w:rsid w:val="00C37111"/>
    <w:rsid w:val="00C43610"/>
    <w:rsid w:val="00C50900"/>
    <w:rsid w:val="00C54415"/>
    <w:rsid w:val="00C56A32"/>
    <w:rsid w:val="00C66720"/>
    <w:rsid w:val="00C74CD9"/>
    <w:rsid w:val="00C77691"/>
    <w:rsid w:val="00C8312C"/>
    <w:rsid w:val="00C83190"/>
    <w:rsid w:val="00C85604"/>
    <w:rsid w:val="00C85CC6"/>
    <w:rsid w:val="00C8782F"/>
    <w:rsid w:val="00C90824"/>
    <w:rsid w:val="00CA0C27"/>
    <w:rsid w:val="00CA2BEA"/>
    <w:rsid w:val="00CA3D56"/>
    <w:rsid w:val="00CA77CE"/>
    <w:rsid w:val="00CC3C79"/>
    <w:rsid w:val="00CD3A2D"/>
    <w:rsid w:val="00CD488E"/>
    <w:rsid w:val="00CD680A"/>
    <w:rsid w:val="00CE0C7A"/>
    <w:rsid w:val="00CE3CDA"/>
    <w:rsid w:val="00CF1717"/>
    <w:rsid w:val="00CF2CD3"/>
    <w:rsid w:val="00CF557E"/>
    <w:rsid w:val="00CF62D9"/>
    <w:rsid w:val="00D05944"/>
    <w:rsid w:val="00D107AA"/>
    <w:rsid w:val="00D114B1"/>
    <w:rsid w:val="00D1419C"/>
    <w:rsid w:val="00D14E10"/>
    <w:rsid w:val="00D16172"/>
    <w:rsid w:val="00D20C97"/>
    <w:rsid w:val="00D237D5"/>
    <w:rsid w:val="00D25B40"/>
    <w:rsid w:val="00D26057"/>
    <w:rsid w:val="00D34743"/>
    <w:rsid w:val="00D35156"/>
    <w:rsid w:val="00D371C8"/>
    <w:rsid w:val="00D42796"/>
    <w:rsid w:val="00D4717B"/>
    <w:rsid w:val="00D510FE"/>
    <w:rsid w:val="00D61634"/>
    <w:rsid w:val="00D71B47"/>
    <w:rsid w:val="00D81685"/>
    <w:rsid w:val="00D868CB"/>
    <w:rsid w:val="00D97F3C"/>
    <w:rsid w:val="00DA089C"/>
    <w:rsid w:val="00DA0BB2"/>
    <w:rsid w:val="00DA3CC7"/>
    <w:rsid w:val="00DB1D8B"/>
    <w:rsid w:val="00DC14D2"/>
    <w:rsid w:val="00DC1544"/>
    <w:rsid w:val="00DC5CCF"/>
    <w:rsid w:val="00DE547C"/>
    <w:rsid w:val="00DE7F2D"/>
    <w:rsid w:val="00DF5843"/>
    <w:rsid w:val="00E107EF"/>
    <w:rsid w:val="00E209B1"/>
    <w:rsid w:val="00E21914"/>
    <w:rsid w:val="00E240E2"/>
    <w:rsid w:val="00E241C9"/>
    <w:rsid w:val="00E265E3"/>
    <w:rsid w:val="00E317A2"/>
    <w:rsid w:val="00E3529B"/>
    <w:rsid w:val="00E3746C"/>
    <w:rsid w:val="00E405F9"/>
    <w:rsid w:val="00E62CC5"/>
    <w:rsid w:val="00E648D3"/>
    <w:rsid w:val="00E64B22"/>
    <w:rsid w:val="00E679A0"/>
    <w:rsid w:val="00E700AD"/>
    <w:rsid w:val="00E72B65"/>
    <w:rsid w:val="00E8412E"/>
    <w:rsid w:val="00E86A06"/>
    <w:rsid w:val="00E94BD8"/>
    <w:rsid w:val="00E94E2A"/>
    <w:rsid w:val="00E95EFC"/>
    <w:rsid w:val="00EA0A1D"/>
    <w:rsid w:val="00EA459C"/>
    <w:rsid w:val="00EA733C"/>
    <w:rsid w:val="00EC5991"/>
    <w:rsid w:val="00ED6F7F"/>
    <w:rsid w:val="00EE1F16"/>
    <w:rsid w:val="00EE7AC5"/>
    <w:rsid w:val="00EF0D57"/>
    <w:rsid w:val="00EF1ED4"/>
    <w:rsid w:val="00EF22B3"/>
    <w:rsid w:val="00F05F7D"/>
    <w:rsid w:val="00F1625A"/>
    <w:rsid w:val="00F16CA0"/>
    <w:rsid w:val="00F17D6A"/>
    <w:rsid w:val="00F201FA"/>
    <w:rsid w:val="00F21B96"/>
    <w:rsid w:val="00F25684"/>
    <w:rsid w:val="00F31D7F"/>
    <w:rsid w:val="00F36B10"/>
    <w:rsid w:val="00F36E49"/>
    <w:rsid w:val="00F409AE"/>
    <w:rsid w:val="00F415DE"/>
    <w:rsid w:val="00F4301F"/>
    <w:rsid w:val="00F460A8"/>
    <w:rsid w:val="00F4714D"/>
    <w:rsid w:val="00F57F17"/>
    <w:rsid w:val="00F8297F"/>
    <w:rsid w:val="00F9074D"/>
    <w:rsid w:val="00F92ADF"/>
    <w:rsid w:val="00F976FE"/>
    <w:rsid w:val="00FA177D"/>
    <w:rsid w:val="00FA17D8"/>
    <w:rsid w:val="00FA43DB"/>
    <w:rsid w:val="00FA4D2A"/>
    <w:rsid w:val="00FB3DEB"/>
    <w:rsid w:val="00FC1444"/>
    <w:rsid w:val="00FC74E8"/>
    <w:rsid w:val="00FD4A67"/>
    <w:rsid w:val="00FE38CE"/>
    <w:rsid w:val="00FE5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57C4"/>
  <w15:chartTrackingRefBased/>
  <w15:docId w15:val="{277C695B-7D05-4A61-B9D4-66DE726C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46"/>
  </w:style>
  <w:style w:type="paragraph" w:styleId="1">
    <w:name w:val="heading 1"/>
    <w:basedOn w:val="a"/>
    <w:link w:val="10"/>
    <w:uiPriority w:val="9"/>
    <w:qFormat/>
    <w:rsid w:val="006E42BA"/>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qFormat/>
    <w:rsid w:val="006E42BA"/>
    <w:pPr>
      <w:keepNext/>
      <w:suppressAutoHyphens/>
      <w:spacing w:before="240" w:after="60" w:line="240" w:lineRule="auto"/>
      <w:outlineLvl w:val="1"/>
    </w:pPr>
    <w:rPr>
      <w:rFonts w:ascii="Cambria" w:eastAsia="Times New Roman" w:hAnsi="Cambria" w:cs="Mangal"/>
      <w:b/>
      <w:bCs/>
      <w:i/>
      <w:iCs/>
      <w:kern w:val="1"/>
      <w:sz w:val="28"/>
      <w:szCs w:val="25"/>
      <w:lang w:val="ru-RU" w:eastAsia="hi-IN" w:bidi="hi-IN"/>
    </w:rPr>
  </w:style>
  <w:style w:type="paragraph" w:styleId="3">
    <w:name w:val="heading 3"/>
    <w:basedOn w:val="a"/>
    <w:next w:val="a"/>
    <w:link w:val="30"/>
    <w:uiPriority w:val="9"/>
    <w:qFormat/>
    <w:rsid w:val="006E42BA"/>
    <w:pPr>
      <w:keepNext/>
      <w:suppressAutoHyphens/>
      <w:spacing w:before="240" w:after="60" w:line="240" w:lineRule="auto"/>
      <w:outlineLvl w:val="2"/>
    </w:pPr>
    <w:rPr>
      <w:rFonts w:ascii="Cambria" w:eastAsia="Times New Roman" w:hAnsi="Cambria" w:cs="Mangal"/>
      <w:b/>
      <w:bCs/>
      <w:kern w:val="1"/>
      <w:sz w:val="26"/>
      <w:szCs w:val="23"/>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72E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rsid w:val="005E72EA"/>
    <w:rPr>
      <w:rFonts w:cs="Times New Roman"/>
    </w:rPr>
  </w:style>
  <w:style w:type="paragraph" w:styleId="a3">
    <w:name w:val="List Paragraph"/>
    <w:basedOn w:val="a"/>
    <w:uiPriority w:val="34"/>
    <w:qFormat/>
    <w:rsid w:val="005E72EA"/>
    <w:pPr>
      <w:spacing w:after="200" w:line="276" w:lineRule="auto"/>
      <w:ind w:left="720"/>
      <w:contextualSpacing/>
    </w:pPr>
    <w:rPr>
      <w:rFonts w:ascii="Calibri" w:eastAsia="Calibri" w:hAnsi="Calibri" w:cs="Times New Roman"/>
    </w:rPr>
  </w:style>
  <w:style w:type="table" w:styleId="a4">
    <w:name w:val="Table Grid"/>
    <w:basedOn w:val="a1"/>
    <w:uiPriority w:val="59"/>
    <w:rsid w:val="005E72E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E42BA"/>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rsid w:val="006E42BA"/>
    <w:rPr>
      <w:rFonts w:ascii="Cambria" w:eastAsia="Times New Roman" w:hAnsi="Cambria" w:cs="Mangal"/>
      <w:b/>
      <w:bCs/>
      <w:i/>
      <w:iCs/>
      <w:kern w:val="1"/>
      <w:sz w:val="28"/>
      <w:szCs w:val="25"/>
      <w:lang w:val="ru-RU" w:eastAsia="hi-IN" w:bidi="hi-IN"/>
    </w:rPr>
  </w:style>
  <w:style w:type="character" w:customStyle="1" w:styleId="30">
    <w:name w:val="Заголовок 3 Знак"/>
    <w:basedOn w:val="a0"/>
    <w:link w:val="3"/>
    <w:uiPriority w:val="9"/>
    <w:rsid w:val="006E42BA"/>
    <w:rPr>
      <w:rFonts w:ascii="Cambria" w:eastAsia="Times New Roman" w:hAnsi="Cambria" w:cs="Mangal"/>
      <w:b/>
      <w:bCs/>
      <w:kern w:val="1"/>
      <w:sz w:val="26"/>
      <w:szCs w:val="23"/>
      <w:lang w:val="ru-RU" w:eastAsia="hi-IN" w:bidi="hi-IN"/>
    </w:rPr>
  </w:style>
  <w:style w:type="numbering" w:customStyle="1" w:styleId="11">
    <w:name w:val="Немає списку1"/>
    <w:next w:val="a2"/>
    <w:uiPriority w:val="99"/>
    <w:semiHidden/>
    <w:unhideWhenUsed/>
    <w:rsid w:val="006E42BA"/>
  </w:style>
  <w:style w:type="character" w:customStyle="1" w:styleId="12">
    <w:name w:val="Шрифт абзацу за промовчанням1"/>
    <w:rsid w:val="006E42BA"/>
  </w:style>
  <w:style w:type="character" w:styleId="a5">
    <w:name w:val="Hyperlink"/>
    <w:uiPriority w:val="99"/>
    <w:rsid w:val="006E42BA"/>
    <w:rPr>
      <w:rFonts w:cs="Times New Roman"/>
      <w:color w:val="0000FF"/>
      <w:u w:val="single"/>
    </w:rPr>
  </w:style>
  <w:style w:type="character" w:customStyle="1" w:styleId="a6">
    <w:name w:val="Текст выноски Знак"/>
    <w:rsid w:val="006E42BA"/>
    <w:rPr>
      <w:rFonts w:ascii="Tahoma" w:hAnsi="Tahoma" w:cs="Tahoma"/>
      <w:sz w:val="16"/>
      <w:szCs w:val="16"/>
      <w:lang w:val="uk-UA"/>
    </w:rPr>
  </w:style>
  <w:style w:type="character" w:customStyle="1" w:styleId="a7">
    <w:name w:val="Верхний колонтитул Знак"/>
    <w:uiPriority w:val="99"/>
    <w:rsid w:val="006E42BA"/>
    <w:rPr>
      <w:rFonts w:ascii="Times New Roman" w:hAnsi="Times New Roman" w:cs="Times New Roman"/>
      <w:sz w:val="24"/>
      <w:szCs w:val="24"/>
      <w:lang w:val="uk-UA"/>
    </w:rPr>
  </w:style>
  <w:style w:type="character" w:customStyle="1" w:styleId="a8">
    <w:name w:val="Нижний колонтитул Знак"/>
    <w:rsid w:val="006E42BA"/>
    <w:rPr>
      <w:rFonts w:ascii="Times New Roman" w:hAnsi="Times New Roman" w:cs="Times New Roman"/>
      <w:sz w:val="24"/>
      <w:szCs w:val="24"/>
      <w:lang w:val="uk-UA"/>
    </w:rPr>
  </w:style>
  <w:style w:type="character" w:customStyle="1" w:styleId="rvts23">
    <w:name w:val="rvts23"/>
    <w:rsid w:val="006E42BA"/>
    <w:rPr>
      <w:rFonts w:cs="Times New Roman"/>
    </w:rPr>
  </w:style>
  <w:style w:type="character" w:customStyle="1" w:styleId="rvts44">
    <w:name w:val="rvts44"/>
    <w:rsid w:val="006E42BA"/>
    <w:rPr>
      <w:rFonts w:cs="Times New Roman"/>
    </w:rPr>
  </w:style>
  <w:style w:type="character" w:customStyle="1" w:styleId="rvts9">
    <w:name w:val="rvts9"/>
    <w:basedOn w:val="12"/>
    <w:rsid w:val="006E42BA"/>
  </w:style>
  <w:style w:type="character" w:customStyle="1" w:styleId="ListLabel1">
    <w:name w:val="ListLabel 1"/>
    <w:rsid w:val="006E42BA"/>
    <w:rPr>
      <w:rFonts w:cs="Courier New"/>
    </w:rPr>
  </w:style>
  <w:style w:type="character" w:customStyle="1" w:styleId="ListLabel2">
    <w:name w:val="ListLabel 2"/>
    <w:rsid w:val="006E42BA"/>
    <w:rPr>
      <w:rFonts w:cs="Times New Roman"/>
    </w:rPr>
  </w:style>
  <w:style w:type="character" w:customStyle="1" w:styleId="ListLabel3">
    <w:name w:val="ListLabel 3"/>
    <w:rsid w:val="006E42BA"/>
    <w:rPr>
      <w:rFonts w:eastAsia="Calibri" w:cs="Times New Roman"/>
    </w:rPr>
  </w:style>
  <w:style w:type="paragraph" w:customStyle="1" w:styleId="13">
    <w:name w:val="Заголовок1"/>
    <w:basedOn w:val="a"/>
    <w:next w:val="a9"/>
    <w:rsid w:val="006E42BA"/>
    <w:pPr>
      <w:keepNext/>
      <w:suppressAutoHyphens/>
      <w:spacing w:before="240" w:after="120" w:line="240" w:lineRule="auto"/>
    </w:pPr>
    <w:rPr>
      <w:rFonts w:ascii="Arial" w:eastAsia="Microsoft YaHei" w:hAnsi="Arial" w:cs="Mangal"/>
      <w:kern w:val="1"/>
      <w:sz w:val="28"/>
      <w:szCs w:val="28"/>
      <w:lang w:val="ru-RU" w:eastAsia="hi-IN" w:bidi="hi-IN"/>
    </w:rPr>
  </w:style>
  <w:style w:type="paragraph" w:styleId="a9">
    <w:name w:val="Body Text"/>
    <w:basedOn w:val="a"/>
    <w:link w:val="aa"/>
    <w:rsid w:val="006E42BA"/>
    <w:pPr>
      <w:suppressAutoHyphens/>
      <w:spacing w:after="120" w:line="240" w:lineRule="auto"/>
    </w:pPr>
    <w:rPr>
      <w:rFonts w:ascii="Times New Roman" w:eastAsia="Times New Roman" w:hAnsi="Times New Roman" w:cs="Mangal"/>
      <w:kern w:val="1"/>
      <w:sz w:val="24"/>
      <w:szCs w:val="24"/>
      <w:lang w:val="ru-RU" w:eastAsia="hi-IN" w:bidi="hi-IN"/>
    </w:rPr>
  </w:style>
  <w:style w:type="character" w:customStyle="1" w:styleId="aa">
    <w:name w:val="Основной текст Знак"/>
    <w:basedOn w:val="a0"/>
    <w:link w:val="a9"/>
    <w:rsid w:val="006E42BA"/>
    <w:rPr>
      <w:rFonts w:ascii="Times New Roman" w:eastAsia="Times New Roman" w:hAnsi="Times New Roman" w:cs="Mangal"/>
      <w:kern w:val="1"/>
      <w:sz w:val="24"/>
      <w:szCs w:val="24"/>
      <w:lang w:val="ru-RU" w:eastAsia="hi-IN" w:bidi="hi-IN"/>
    </w:rPr>
  </w:style>
  <w:style w:type="paragraph" w:styleId="ab">
    <w:name w:val="Title"/>
    <w:basedOn w:val="13"/>
    <w:next w:val="ac"/>
    <w:link w:val="ad"/>
    <w:qFormat/>
    <w:rsid w:val="006E42BA"/>
  </w:style>
  <w:style w:type="character" w:customStyle="1" w:styleId="ad">
    <w:name w:val="Заголовок Знак"/>
    <w:basedOn w:val="a0"/>
    <w:link w:val="ab"/>
    <w:rsid w:val="006E42BA"/>
    <w:rPr>
      <w:rFonts w:ascii="Arial" w:eastAsia="Microsoft YaHei" w:hAnsi="Arial" w:cs="Mangal"/>
      <w:kern w:val="1"/>
      <w:sz w:val="28"/>
      <w:szCs w:val="28"/>
      <w:lang w:val="ru-RU" w:eastAsia="hi-IN" w:bidi="hi-IN"/>
    </w:rPr>
  </w:style>
  <w:style w:type="paragraph" w:styleId="ac">
    <w:name w:val="Subtitle"/>
    <w:basedOn w:val="13"/>
    <w:next w:val="a9"/>
    <w:link w:val="ae"/>
    <w:qFormat/>
    <w:rsid w:val="006E42BA"/>
    <w:pPr>
      <w:jc w:val="center"/>
    </w:pPr>
    <w:rPr>
      <w:i/>
      <w:iCs/>
    </w:rPr>
  </w:style>
  <w:style w:type="character" w:customStyle="1" w:styleId="ae">
    <w:name w:val="Подзаголовок Знак"/>
    <w:basedOn w:val="a0"/>
    <w:link w:val="ac"/>
    <w:rsid w:val="006E42BA"/>
    <w:rPr>
      <w:rFonts w:ascii="Arial" w:eastAsia="Microsoft YaHei" w:hAnsi="Arial" w:cs="Mangal"/>
      <w:i/>
      <w:iCs/>
      <w:kern w:val="1"/>
      <w:sz w:val="28"/>
      <w:szCs w:val="28"/>
      <w:lang w:val="ru-RU" w:eastAsia="hi-IN" w:bidi="hi-IN"/>
    </w:rPr>
  </w:style>
  <w:style w:type="paragraph" w:styleId="af">
    <w:name w:val="List"/>
    <w:basedOn w:val="a9"/>
    <w:rsid w:val="006E42BA"/>
  </w:style>
  <w:style w:type="paragraph" w:customStyle="1" w:styleId="14">
    <w:name w:val="Название1"/>
    <w:basedOn w:val="a"/>
    <w:rsid w:val="006E42BA"/>
    <w:pPr>
      <w:suppressLineNumbers/>
      <w:suppressAutoHyphens/>
      <w:spacing w:before="120" w:after="120" w:line="240" w:lineRule="auto"/>
    </w:pPr>
    <w:rPr>
      <w:rFonts w:ascii="Times New Roman" w:eastAsia="Times New Roman" w:hAnsi="Times New Roman" w:cs="Mangal"/>
      <w:i/>
      <w:iCs/>
      <w:kern w:val="1"/>
      <w:sz w:val="24"/>
      <w:szCs w:val="24"/>
      <w:lang w:val="ru-RU" w:eastAsia="hi-IN" w:bidi="hi-IN"/>
    </w:rPr>
  </w:style>
  <w:style w:type="paragraph" w:customStyle="1" w:styleId="15">
    <w:name w:val="Указатель1"/>
    <w:basedOn w:val="a"/>
    <w:rsid w:val="006E42BA"/>
    <w:pPr>
      <w:suppressLineNumbers/>
      <w:suppressAutoHyphens/>
      <w:spacing w:after="0" w:line="240" w:lineRule="auto"/>
    </w:pPr>
    <w:rPr>
      <w:rFonts w:ascii="Times New Roman" w:eastAsia="Times New Roman" w:hAnsi="Times New Roman" w:cs="Mangal"/>
      <w:kern w:val="1"/>
      <w:sz w:val="24"/>
      <w:szCs w:val="24"/>
      <w:lang w:val="ru-RU" w:eastAsia="hi-IN" w:bidi="hi-IN"/>
    </w:rPr>
  </w:style>
  <w:style w:type="paragraph" w:customStyle="1" w:styleId="16">
    <w:name w:val="Текст у виносці1"/>
    <w:basedOn w:val="a"/>
    <w:rsid w:val="006E42BA"/>
    <w:pPr>
      <w:suppressAutoHyphens/>
      <w:spacing w:after="0" w:line="240" w:lineRule="auto"/>
    </w:pPr>
    <w:rPr>
      <w:rFonts w:ascii="Tahoma" w:eastAsia="Times New Roman" w:hAnsi="Tahoma" w:cs="Tahoma"/>
      <w:kern w:val="1"/>
      <w:sz w:val="16"/>
      <w:szCs w:val="16"/>
      <w:lang w:val="ru-RU" w:eastAsia="hi-IN" w:bidi="hi-IN"/>
    </w:rPr>
  </w:style>
  <w:style w:type="paragraph" w:styleId="af0">
    <w:name w:val="header"/>
    <w:basedOn w:val="a"/>
    <w:link w:val="17"/>
    <w:uiPriority w:val="99"/>
    <w:rsid w:val="006E42BA"/>
    <w:pPr>
      <w:suppressLineNumbers/>
      <w:tabs>
        <w:tab w:val="center" w:pos="4677"/>
        <w:tab w:val="right" w:pos="9355"/>
      </w:tabs>
      <w:suppressAutoHyphens/>
      <w:spacing w:after="0" w:line="240" w:lineRule="auto"/>
    </w:pPr>
    <w:rPr>
      <w:rFonts w:ascii="Times New Roman" w:eastAsia="Times New Roman" w:hAnsi="Times New Roman" w:cs="Mangal"/>
      <w:kern w:val="1"/>
      <w:sz w:val="24"/>
      <w:szCs w:val="24"/>
      <w:lang w:val="ru-RU" w:eastAsia="hi-IN" w:bidi="hi-IN"/>
    </w:rPr>
  </w:style>
  <w:style w:type="character" w:customStyle="1" w:styleId="17">
    <w:name w:val="Верхний колонтитул Знак1"/>
    <w:basedOn w:val="a0"/>
    <w:link w:val="af0"/>
    <w:uiPriority w:val="99"/>
    <w:rsid w:val="006E42BA"/>
    <w:rPr>
      <w:rFonts w:ascii="Times New Roman" w:eastAsia="Times New Roman" w:hAnsi="Times New Roman" w:cs="Mangal"/>
      <w:kern w:val="1"/>
      <w:sz w:val="24"/>
      <w:szCs w:val="24"/>
      <w:lang w:val="ru-RU" w:eastAsia="hi-IN" w:bidi="hi-IN"/>
    </w:rPr>
  </w:style>
  <w:style w:type="paragraph" w:styleId="af1">
    <w:name w:val="footer"/>
    <w:basedOn w:val="a"/>
    <w:link w:val="18"/>
    <w:rsid w:val="006E42BA"/>
    <w:pPr>
      <w:suppressLineNumbers/>
      <w:tabs>
        <w:tab w:val="center" w:pos="4677"/>
        <w:tab w:val="right" w:pos="9355"/>
      </w:tabs>
      <w:suppressAutoHyphens/>
      <w:spacing w:after="0" w:line="240" w:lineRule="auto"/>
    </w:pPr>
    <w:rPr>
      <w:rFonts w:ascii="Times New Roman" w:eastAsia="Times New Roman" w:hAnsi="Times New Roman" w:cs="Mangal"/>
      <w:kern w:val="1"/>
      <w:sz w:val="24"/>
      <w:szCs w:val="24"/>
      <w:lang w:val="ru-RU" w:eastAsia="hi-IN" w:bidi="hi-IN"/>
    </w:rPr>
  </w:style>
  <w:style w:type="character" w:customStyle="1" w:styleId="18">
    <w:name w:val="Нижний колонтитул Знак1"/>
    <w:basedOn w:val="a0"/>
    <w:link w:val="af1"/>
    <w:rsid w:val="006E42BA"/>
    <w:rPr>
      <w:rFonts w:ascii="Times New Roman" w:eastAsia="Times New Roman" w:hAnsi="Times New Roman" w:cs="Mangal"/>
      <w:kern w:val="1"/>
      <w:sz w:val="24"/>
      <w:szCs w:val="24"/>
      <w:lang w:val="ru-RU" w:eastAsia="hi-IN" w:bidi="hi-IN"/>
    </w:rPr>
  </w:style>
  <w:style w:type="paragraph" w:customStyle="1" w:styleId="19">
    <w:name w:val="Звичайний (веб)1"/>
    <w:basedOn w:val="a"/>
    <w:rsid w:val="006E42BA"/>
    <w:pPr>
      <w:suppressAutoHyphens/>
      <w:spacing w:before="28" w:after="28" w:line="240" w:lineRule="auto"/>
    </w:pPr>
    <w:rPr>
      <w:rFonts w:ascii="Times New Roman" w:eastAsia="Calibri" w:hAnsi="Times New Roman" w:cs="Mangal"/>
      <w:kern w:val="1"/>
      <w:sz w:val="24"/>
      <w:szCs w:val="24"/>
      <w:lang w:val="ru-RU" w:eastAsia="hi-IN" w:bidi="hi-IN"/>
    </w:rPr>
  </w:style>
  <w:style w:type="paragraph" w:customStyle="1" w:styleId="rvps2">
    <w:name w:val="rvps2"/>
    <w:basedOn w:val="a"/>
    <w:rsid w:val="006E42BA"/>
    <w:pPr>
      <w:suppressAutoHyphens/>
      <w:spacing w:before="28" w:after="28" w:line="240" w:lineRule="auto"/>
    </w:pPr>
    <w:rPr>
      <w:rFonts w:ascii="Times New Roman" w:eastAsia="Times New Roman" w:hAnsi="Times New Roman" w:cs="Mangal"/>
      <w:kern w:val="1"/>
      <w:sz w:val="24"/>
      <w:szCs w:val="24"/>
      <w:lang w:val="ru-RU" w:eastAsia="hi-IN" w:bidi="hi-IN"/>
    </w:rPr>
  </w:style>
  <w:style w:type="paragraph" w:customStyle="1" w:styleId="af2">
    <w:name w:val="Назва документа"/>
    <w:basedOn w:val="a"/>
    <w:rsid w:val="006E42BA"/>
    <w:pPr>
      <w:keepNext/>
      <w:keepLines/>
      <w:suppressAutoHyphens/>
      <w:spacing w:before="360" w:after="360" w:line="240" w:lineRule="auto"/>
      <w:jc w:val="center"/>
    </w:pPr>
    <w:rPr>
      <w:rFonts w:ascii="Antiqua" w:eastAsia="Times New Roman" w:hAnsi="Antiqua" w:cs="Mangal"/>
      <w:b/>
      <w:kern w:val="1"/>
      <w:sz w:val="26"/>
      <w:szCs w:val="20"/>
      <w:lang w:val="ru-RU" w:eastAsia="hi-IN" w:bidi="hi-IN"/>
    </w:rPr>
  </w:style>
  <w:style w:type="paragraph" w:customStyle="1" w:styleId="1a">
    <w:name w:val="Абзац списку1"/>
    <w:basedOn w:val="a"/>
    <w:rsid w:val="006E42BA"/>
    <w:pPr>
      <w:suppressAutoHyphens/>
      <w:spacing w:after="0" w:line="240" w:lineRule="auto"/>
      <w:ind w:left="720"/>
    </w:pPr>
    <w:rPr>
      <w:rFonts w:ascii="Times New Roman" w:eastAsia="Times New Roman" w:hAnsi="Times New Roman" w:cs="Mangal"/>
      <w:kern w:val="1"/>
      <w:sz w:val="24"/>
      <w:szCs w:val="24"/>
      <w:lang w:val="ru-RU" w:eastAsia="hi-IN" w:bidi="hi-IN"/>
    </w:rPr>
  </w:style>
  <w:style w:type="paragraph" w:customStyle="1" w:styleId="af3">
    <w:name w:val="Нормальний текст"/>
    <w:basedOn w:val="a"/>
    <w:rsid w:val="006E42BA"/>
    <w:pPr>
      <w:suppressAutoHyphens/>
      <w:spacing w:before="120" w:after="0" w:line="240" w:lineRule="auto"/>
      <w:ind w:firstLine="567"/>
    </w:pPr>
    <w:rPr>
      <w:rFonts w:ascii="Antiqua" w:eastAsia="Times New Roman" w:hAnsi="Antiqua" w:cs="Mangal"/>
      <w:kern w:val="1"/>
      <w:sz w:val="26"/>
      <w:szCs w:val="20"/>
      <w:lang w:val="ru-RU" w:eastAsia="hi-IN" w:bidi="hi-IN"/>
    </w:rPr>
  </w:style>
  <w:style w:type="paragraph" w:customStyle="1" w:styleId="rvps7">
    <w:name w:val="rvps7"/>
    <w:basedOn w:val="a"/>
    <w:rsid w:val="006E42BA"/>
    <w:pPr>
      <w:suppressAutoHyphens/>
      <w:spacing w:before="28" w:after="28" w:line="240" w:lineRule="auto"/>
    </w:pPr>
    <w:rPr>
      <w:rFonts w:ascii="Times New Roman" w:eastAsia="Times New Roman" w:hAnsi="Times New Roman" w:cs="Mangal"/>
      <w:kern w:val="1"/>
      <w:sz w:val="24"/>
      <w:szCs w:val="24"/>
      <w:lang w:val="ru-RU" w:eastAsia="hi-IN" w:bidi="hi-IN"/>
    </w:rPr>
  </w:style>
  <w:style w:type="paragraph" w:customStyle="1" w:styleId="rvps6">
    <w:name w:val="rvps6"/>
    <w:basedOn w:val="a"/>
    <w:rsid w:val="006E42BA"/>
    <w:pPr>
      <w:suppressAutoHyphens/>
      <w:spacing w:before="28" w:after="28" w:line="240" w:lineRule="auto"/>
    </w:pPr>
    <w:rPr>
      <w:rFonts w:ascii="Times New Roman" w:eastAsia="Times New Roman" w:hAnsi="Times New Roman" w:cs="Mangal"/>
      <w:kern w:val="1"/>
      <w:sz w:val="24"/>
      <w:szCs w:val="24"/>
      <w:lang w:val="ru-RU" w:eastAsia="hi-IN" w:bidi="hi-IN"/>
    </w:rPr>
  </w:style>
  <w:style w:type="paragraph" w:customStyle="1" w:styleId="rvps4">
    <w:name w:val="rvps4"/>
    <w:basedOn w:val="a"/>
    <w:rsid w:val="006E42BA"/>
    <w:pPr>
      <w:suppressAutoHyphens/>
      <w:spacing w:before="28" w:after="28" w:line="240" w:lineRule="auto"/>
    </w:pPr>
    <w:rPr>
      <w:rFonts w:ascii="Times New Roman" w:eastAsia="Times New Roman" w:hAnsi="Times New Roman" w:cs="Mangal"/>
      <w:kern w:val="1"/>
      <w:sz w:val="24"/>
      <w:szCs w:val="24"/>
      <w:lang w:val="ru-RU" w:eastAsia="hi-IN" w:bidi="hi-IN"/>
    </w:rPr>
  </w:style>
  <w:style w:type="paragraph" w:customStyle="1" w:styleId="af4">
    <w:name w:val="Знак Знак Знак Знак Знак Знак Знак Знак Знак Знак"/>
    <w:basedOn w:val="a"/>
    <w:rsid w:val="006E42BA"/>
    <w:pPr>
      <w:suppressAutoHyphens/>
      <w:spacing w:after="0" w:line="240" w:lineRule="auto"/>
    </w:pPr>
    <w:rPr>
      <w:rFonts w:ascii="Verdana" w:eastAsia="Times New Roman" w:hAnsi="Verdana" w:cs="Verdana"/>
      <w:color w:val="000000"/>
      <w:kern w:val="1"/>
      <w:sz w:val="20"/>
      <w:szCs w:val="20"/>
      <w:lang w:val="en-US" w:eastAsia="hi-IN" w:bidi="hi-IN"/>
    </w:rPr>
  </w:style>
  <w:style w:type="paragraph" w:customStyle="1" w:styleId="af5">
    <w:name w:val="Содержимое таблицы"/>
    <w:basedOn w:val="a"/>
    <w:rsid w:val="006E42BA"/>
    <w:pPr>
      <w:suppressLineNumbers/>
      <w:suppressAutoHyphens/>
      <w:spacing w:after="0" w:line="240" w:lineRule="auto"/>
    </w:pPr>
    <w:rPr>
      <w:rFonts w:ascii="Times New Roman" w:eastAsia="Times New Roman" w:hAnsi="Times New Roman" w:cs="Mangal"/>
      <w:kern w:val="1"/>
      <w:sz w:val="24"/>
      <w:szCs w:val="24"/>
      <w:lang w:val="ru-RU" w:eastAsia="hi-IN" w:bidi="hi-IN"/>
    </w:rPr>
  </w:style>
  <w:style w:type="table" w:customStyle="1" w:styleId="1b">
    <w:name w:val="Сітка таблиці1"/>
    <w:basedOn w:val="a1"/>
    <w:next w:val="a4"/>
    <w:uiPriority w:val="59"/>
    <w:rsid w:val="006E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6E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6E42BA"/>
    <w:rPr>
      <w:rFonts w:ascii="Courier New" w:eastAsia="Times New Roman" w:hAnsi="Courier New" w:cs="Times New Roman"/>
      <w:sz w:val="20"/>
      <w:szCs w:val="20"/>
      <w:lang w:eastAsia="uk-UA"/>
    </w:rPr>
  </w:style>
  <w:style w:type="paragraph" w:customStyle="1" w:styleId="Style12">
    <w:name w:val="Style12"/>
    <w:basedOn w:val="a"/>
    <w:rsid w:val="006E42B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34">
    <w:name w:val="Font Style34"/>
    <w:rsid w:val="006E42BA"/>
    <w:rPr>
      <w:rFonts w:ascii="Times New Roman" w:hAnsi="Times New Roman" w:cs="Times New Roman"/>
      <w:b/>
      <w:bCs/>
      <w:sz w:val="26"/>
      <w:szCs w:val="26"/>
    </w:rPr>
  </w:style>
  <w:style w:type="paragraph" w:customStyle="1" w:styleId="Style18">
    <w:name w:val="Style18"/>
    <w:basedOn w:val="a"/>
    <w:rsid w:val="006E42BA"/>
    <w:pPr>
      <w:widowControl w:val="0"/>
      <w:autoSpaceDE w:val="0"/>
      <w:autoSpaceDN w:val="0"/>
      <w:adjustRightInd w:val="0"/>
      <w:spacing w:after="0" w:line="326" w:lineRule="exact"/>
      <w:ind w:firstLine="533"/>
      <w:jc w:val="both"/>
    </w:pPr>
    <w:rPr>
      <w:rFonts w:ascii="Times New Roman" w:eastAsia="Times New Roman" w:hAnsi="Times New Roman" w:cs="Times New Roman"/>
      <w:sz w:val="24"/>
      <w:szCs w:val="24"/>
      <w:lang w:val="ru-RU" w:eastAsia="ru-RU"/>
    </w:rPr>
  </w:style>
  <w:style w:type="character" w:customStyle="1" w:styleId="FontStyle35">
    <w:name w:val="Font Style35"/>
    <w:rsid w:val="006E42BA"/>
    <w:rPr>
      <w:rFonts w:ascii="Times New Roman" w:hAnsi="Times New Roman" w:cs="Times New Roman"/>
      <w:sz w:val="26"/>
      <w:szCs w:val="26"/>
    </w:rPr>
  </w:style>
  <w:style w:type="character" w:customStyle="1" w:styleId="FontStyle28">
    <w:name w:val="Font Style28"/>
    <w:rsid w:val="006E42BA"/>
    <w:rPr>
      <w:rFonts w:ascii="Times New Roman" w:hAnsi="Times New Roman" w:cs="Times New Roman"/>
      <w:spacing w:val="10"/>
      <w:sz w:val="24"/>
      <w:szCs w:val="24"/>
    </w:rPr>
  </w:style>
  <w:style w:type="character" w:styleId="af6">
    <w:name w:val="Strong"/>
    <w:basedOn w:val="a0"/>
    <w:qFormat/>
    <w:rsid w:val="006E42BA"/>
    <w:rPr>
      <w:rFonts w:cs="Times New Roman"/>
      <w:b/>
      <w:bCs/>
    </w:rPr>
  </w:style>
  <w:style w:type="character" w:customStyle="1" w:styleId="apple-converted-space">
    <w:name w:val="apple-converted-space"/>
    <w:basedOn w:val="a0"/>
    <w:rsid w:val="006E42BA"/>
  </w:style>
  <w:style w:type="paragraph" w:customStyle="1" w:styleId="western">
    <w:name w:val="western"/>
    <w:basedOn w:val="a"/>
    <w:rsid w:val="006E42BA"/>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40">
    <w:name w:val="a4"/>
    <w:basedOn w:val="a"/>
    <w:rsid w:val="006E42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0">
    <w:name w:val="a5"/>
    <w:basedOn w:val="a"/>
    <w:rsid w:val="006E42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Prop">
    <w:name w:val="StyleProp"/>
    <w:basedOn w:val="a"/>
    <w:link w:val="StyleProp0"/>
    <w:uiPriority w:val="99"/>
    <w:rsid w:val="006E42BA"/>
    <w:pPr>
      <w:spacing w:after="0" w:line="200" w:lineRule="exact"/>
      <w:ind w:firstLine="227"/>
      <w:jc w:val="both"/>
    </w:pPr>
    <w:rPr>
      <w:rFonts w:ascii="Times New Roman" w:eastAsia="Times New Roman" w:hAnsi="Times New Roman" w:cs="Times New Roman"/>
      <w:sz w:val="20"/>
      <w:szCs w:val="20"/>
    </w:rPr>
  </w:style>
  <w:style w:type="character" w:customStyle="1" w:styleId="StyleProp0">
    <w:name w:val="StyleProp Знак"/>
    <w:link w:val="StyleProp"/>
    <w:uiPriority w:val="99"/>
    <w:locked/>
    <w:rsid w:val="006E42BA"/>
    <w:rPr>
      <w:rFonts w:ascii="Times New Roman" w:eastAsia="Times New Roman" w:hAnsi="Times New Roman" w:cs="Times New Roman"/>
      <w:sz w:val="20"/>
      <w:szCs w:val="20"/>
    </w:rPr>
  </w:style>
  <w:style w:type="paragraph" w:styleId="af7">
    <w:name w:val="No Spacing"/>
    <w:uiPriority w:val="1"/>
    <w:qFormat/>
    <w:rsid w:val="006E42BA"/>
    <w:pPr>
      <w:spacing w:after="0" w:line="240" w:lineRule="auto"/>
    </w:pPr>
    <w:rPr>
      <w:rFonts w:ascii="Times New Roman" w:eastAsia="Calibri" w:hAnsi="Times New Roman" w:cs="Times New Roman"/>
      <w:sz w:val="24"/>
      <w:szCs w:val="24"/>
      <w:lang w:val="ru-RU" w:eastAsia="ru-RU"/>
    </w:rPr>
  </w:style>
  <w:style w:type="character" w:customStyle="1" w:styleId="rvts46">
    <w:name w:val="rvts46"/>
    <w:basedOn w:val="a0"/>
    <w:rsid w:val="006E42BA"/>
  </w:style>
  <w:style w:type="paragraph" w:styleId="af8">
    <w:name w:val="Normal (Web)"/>
    <w:basedOn w:val="a"/>
    <w:uiPriority w:val="99"/>
    <w:rsid w:val="006E42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6E42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6E42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
    <w:link w:val="1c"/>
    <w:uiPriority w:val="99"/>
    <w:semiHidden/>
    <w:unhideWhenUsed/>
    <w:rsid w:val="00837579"/>
    <w:pPr>
      <w:spacing w:after="0" w:line="240" w:lineRule="auto"/>
    </w:pPr>
    <w:rPr>
      <w:rFonts w:ascii="Segoe UI" w:hAnsi="Segoe UI" w:cs="Segoe UI"/>
      <w:sz w:val="18"/>
      <w:szCs w:val="18"/>
    </w:rPr>
  </w:style>
  <w:style w:type="character" w:customStyle="1" w:styleId="1c">
    <w:name w:val="Текст выноски Знак1"/>
    <w:basedOn w:val="a0"/>
    <w:link w:val="af9"/>
    <w:uiPriority w:val="99"/>
    <w:semiHidden/>
    <w:rsid w:val="00837579"/>
    <w:rPr>
      <w:rFonts w:ascii="Segoe UI" w:hAnsi="Segoe UI" w:cs="Segoe UI"/>
      <w:sz w:val="18"/>
      <w:szCs w:val="18"/>
    </w:rPr>
  </w:style>
  <w:style w:type="numbering" w:customStyle="1" w:styleId="1d">
    <w:name w:val="Нет списка1"/>
    <w:next w:val="a2"/>
    <w:uiPriority w:val="99"/>
    <w:semiHidden/>
    <w:unhideWhenUsed/>
    <w:rsid w:val="005F6D10"/>
  </w:style>
  <w:style w:type="table" w:customStyle="1" w:styleId="1e">
    <w:name w:val="Сетка таблицы1"/>
    <w:basedOn w:val="a1"/>
    <w:next w:val="a4"/>
    <w:uiPriority w:val="39"/>
    <w:rsid w:val="005F6D1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F6D10"/>
  </w:style>
  <w:style w:type="table" w:customStyle="1" w:styleId="111">
    <w:name w:val="Сетка таблицы11"/>
    <w:basedOn w:val="a1"/>
    <w:next w:val="a4"/>
    <w:uiPriority w:val="59"/>
    <w:rsid w:val="005F6D10"/>
    <w:pPr>
      <w:spacing w:after="0" w:line="240" w:lineRule="auto"/>
    </w:pPr>
    <w:rPr>
      <w:rFonts w:ascii="Calibri" w:eastAsia="Calibri" w:hAnsi="Calibri" w:cs="Times New Roman"/>
      <w:lang w:val="ru-RU" w:eastAsia="ru-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має списку11"/>
    <w:next w:val="a2"/>
    <w:uiPriority w:val="99"/>
    <w:semiHidden/>
    <w:unhideWhenUsed/>
    <w:rsid w:val="005F6D10"/>
  </w:style>
  <w:style w:type="table" w:customStyle="1" w:styleId="113">
    <w:name w:val="Сітка таблиці11"/>
    <w:basedOn w:val="a1"/>
    <w:next w:val="a4"/>
    <w:uiPriority w:val="59"/>
    <w:rsid w:val="005F6D10"/>
    <w:pPr>
      <w:spacing w:after="0" w:line="240" w:lineRule="auto"/>
    </w:pPr>
    <w:rPr>
      <w:rFonts w:ascii="Calibri" w:eastAsia="Calibri" w:hAnsi="Calibri" w:cs="Times New Roman"/>
      <w:lang w:eastAsia="ru-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a">
    <w:basedOn w:val="a"/>
    <w:next w:val="af8"/>
    <w:uiPriority w:val="99"/>
    <w:rsid w:val="005F6D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0B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8899">
      <w:bodyDiv w:val="1"/>
      <w:marLeft w:val="0"/>
      <w:marRight w:val="0"/>
      <w:marTop w:val="0"/>
      <w:marBottom w:val="0"/>
      <w:divBdr>
        <w:top w:val="none" w:sz="0" w:space="0" w:color="auto"/>
        <w:left w:val="none" w:sz="0" w:space="0" w:color="auto"/>
        <w:bottom w:val="none" w:sz="0" w:space="0" w:color="auto"/>
        <w:right w:val="none" w:sz="0" w:space="0" w:color="auto"/>
      </w:divBdr>
    </w:div>
    <w:div w:id="288127360">
      <w:bodyDiv w:val="1"/>
      <w:marLeft w:val="0"/>
      <w:marRight w:val="0"/>
      <w:marTop w:val="0"/>
      <w:marBottom w:val="0"/>
      <w:divBdr>
        <w:top w:val="none" w:sz="0" w:space="0" w:color="auto"/>
        <w:left w:val="none" w:sz="0" w:space="0" w:color="auto"/>
        <w:bottom w:val="none" w:sz="0" w:space="0" w:color="auto"/>
        <w:right w:val="none" w:sz="0" w:space="0" w:color="auto"/>
      </w:divBdr>
    </w:div>
    <w:div w:id="542326420">
      <w:bodyDiv w:val="1"/>
      <w:marLeft w:val="0"/>
      <w:marRight w:val="0"/>
      <w:marTop w:val="0"/>
      <w:marBottom w:val="0"/>
      <w:divBdr>
        <w:top w:val="none" w:sz="0" w:space="0" w:color="auto"/>
        <w:left w:val="none" w:sz="0" w:space="0" w:color="auto"/>
        <w:bottom w:val="none" w:sz="0" w:space="0" w:color="auto"/>
        <w:right w:val="none" w:sz="0" w:space="0" w:color="auto"/>
      </w:divBdr>
    </w:div>
    <w:div w:id="713887695">
      <w:bodyDiv w:val="1"/>
      <w:marLeft w:val="0"/>
      <w:marRight w:val="0"/>
      <w:marTop w:val="0"/>
      <w:marBottom w:val="0"/>
      <w:divBdr>
        <w:top w:val="none" w:sz="0" w:space="0" w:color="auto"/>
        <w:left w:val="none" w:sz="0" w:space="0" w:color="auto"/>
        <w:bottom w:val="none" w:sz="0" w:space="0" w:color="auto"/>
        <w:right w:val="none" w:sz="0" w:space="0" w:color="auto"/>
      </w:divBdr>
    </w:div>
    <w:div w:id="750203488">
      <w:bodyDiv w:val="1"/>
      <w:marLeft w:val="0"/>
      <w:marRight w:val="0"/>
      <w:marTop w:val="0"/>
      <w:marBottom w:val="0"/>
      <w:divBdr>
        <w:top w:val="none" w:sz="0" w:space="0" w:color="auto"/>
        <w:left w:val="none" w:sz="0" w:space="0" w:color="auto"/>
        <w:bottom w:val="none" w:sz="0" w:space="0" w:color="auto"/>
        <w:right w:val="none" w:sz="0" w:space="0" w:color="auto"/>
      </w:divBdr>
    </w:div>
    <w:div w:id="1015881484">
      <w:bodyDiv w:val="1"/>
      <w:marLeft w:val="0"/>
      <w:marRight w:val="0"/>
      <w:marTop w:val="0"/>
      <w:marBottom w:val="0"/>
      <w:divBdr>
        <w:top w:val="none" w:sz="0" w:space="0" w:color="auto"/>
        <w:left w:val="none" w:sz="0" w:space="0" w:color="auto"/>
        <w:bottom w:val="none" w:sz="0" w:space="0" w:color="auto"/>
        <w:right w:val="none" w:sz="0" w:space="0" w:color="auto"/>
      </w:divBdr>
    </w:div>
    <w:div w:id="1151142040">
      <w:bodyDiv w:val="1"/>
      <w:marLeft w:val="0"/>
      <w:marRight w:val="0"/>
      <w:marTop w:val="0"/>
      <w:marBottom w:val="0"/>
      <w:divBdr>
        <w:top w:val="none" w:sz="0" w:space="0" w:color="auto"/>
        <w:left w:val="none" w:sz="0" w:space="0" w:color="auto"/>
        <w:bottom w:val="none" w:sz="0" w:space="0" w:color="auto"/>
        <w:right w:val="none" w:sz="0" w:space="0" w:color="auto"/>
      </w:divBdr>
    </w:div>
    <w:div w:id="1322078057">
      <w:bodyDiv w:val="1"/>
      <w:marLeft w:val="0"/>
      <w:marRight w:val="0"/>
      <w:marTop w:val="0"/>
      <w:marBottom w:val="0"/>
      <w:divBdr>
        <w:top w:val="none" w:sz="0" w:space="0" w:color="auto"/>
        <w:left w:val="none" w:sz="0" w:space="0" w:color="auto"/>
        <w:bottom w:val="none" w:sz="0" w:space="0" w:color="auto"/>
        <w:right w:val="none" w:sz="0" w:space="0" w:color="auto"/>
      </w:divBdr>
    </w:div>
    <w:div w:id="1401632760">
      <w:bodyDiv w:val="1"/>
      <w:marLeft w:val="0"/>
      <w:marRight w:val="0"/>
      <w:marTop w:val="0"/>
      <w:marBottom w:val="0"/>
      <w:divBdr>
        <w:top w:val="none" w:sz="0" w:space="0" w:color="auto"/>
        <w:left w:val="none" w:sz="0" w:space="0" w:color="auto"/>
        <w:bottom w:val="none" w:sz="0" w:space="0" w:color="auto"/>
        <w:right w:val="none" w:sz="0" w:space="0" w:color="auto"/>
      </w:divBdr>
    </w:div>
    <w:div w:id="1571845116">
      <w:bodyDiv w:val="1"/>
      <w:marLeft w:val="0"/>
      <w:marRight w:val="0"/>
      <w:marTop w:val="0"/>
      <w:marBottom w:val="0"/>
      <w:divBdr>
        <w:top w:val="none" w:sz="0" w:space="0" w:color="auto"/>
        <w:left w:val="none" w:sz="0" w:space="0" w:color="auto"/>
        <w:bottom w:val="none" w:sz="0" w:space="0" w:color="auto"/>
        <w:right w:val="none" w:sz="0" w:space="0" w:color="auto"/>
      </w:divBdr>
    </w:div>
    <w:div w:id="1732272613">
      <w:bodyDiv w:val="1"/>
      <w:marLeft w:val="0"/>
      <w:marRight w:val="0"/>
      <w:marTop w:val="0"/>
      <w:marBottom w:val="0"/>
      <w:divBdr>
        <w:top w:val="none" w:sz="0" w:space="0" w:color="auto"/>
        <w:left w:val="none" w:sz="0" w:space="0" w:color="auto"/>
        <w:bottom w:val="none" w:sz="0" w:space="0" w:color="auto"/>
        <w:right w:val="none" w:sz="0" w:space="0" w:color="auto"/>
      </w:divBdr>
    </w:div>
    <w:div w:id="1767463811">
      <w:bodyDiv w:val="1"/>
      <w:marLeft w:val="0"/>
      <w:marRight w:val="0"/>
      <w:marTop w:val="0"/>
      <w:marBottom w:val="0"/>
      <w:divBdr>
        <w:top w:val="none" w:sz="0" w:space="0" w:color="auto"/>
        <w:left w:val="none" w:sz="0" w:space="0" w:color="auto"/>
        <w:bottom w:val="none" w:sz="0" w:space="0" w:color="auto"/>
        <w:right w:val="none" w:sz="0" w:space="0" w:color="auto"/>
      </w:divBdr>
      <w:divsChild>
        <w:div w:id="1742293717">
          <w:marLeft w:val="0"/>
          <w:marRight w:val="0"/>
          <w:marTop w:val="0"/>
          <w:marBottom w:val="0"/>
          <w:divBdr>
            <w:top w:val="none" w:sz="0" w:space="0" w:color="auto"/>
            <w:left w:val="none" w:sz="0" w:space="0" w:color="auto"/>
            <w:bottom w:val="none" w:sz="0" w:space="0" w:color="auto"/>
            <w:right w:val="none" w:sz="0" w:space="0" w:color="auto"/>
          </w:divBdr>
        </w:div>
      </w:divsChild>
    </w:div>
    <w:div w:id="1859468562">
      <w:bodyDiv w:val="1"/>
      <w:marLeft w:val="0"/>
      <w:marRight w:val="0"/>
      <w:marTop w:val="0"/>
      <w:marBottom w:val="0"/>
      <w:divBdr>
        <w:top w:val="none" w:sz="0" w:space="0" w:color="auto"/>
        <w:left w:val="none" w:sz="0" w:space="0" w:color="auto"/>
        <w:bottom w:val="none" w:sz="0" w:space="0" w:color="auto"/>
        <w:right w:val="none" w:sz="0" w:space="0" w:color="auto"/>
      </w:divBdr>
    </w:div>
    <w:div w:id="1986155269">
      <w:bodyDiv w:val="1"/>
      <w:marLeft w:val="0"/>
      <w:marRight w:val="0"/>
      <w:marTop w:val="0"/>
      <w:marBottom w:val="0"/>
      <w:divBdr>
        <w:top w:val="none" w:sz="0" w:space="0" w:color="auto"/>
        <w:left w:val="none" w:sz="0" w:space="0" w:color="auto"/>
        <w:bottom w:val="none" w:sz="0" w:space="0" w:color="auto"/>
        <w:right w:val="none" w:sz="0" w:space="0" w:color="auto"/>
      </w:divBdr>
    </w:div>
    <w:div w:id="21242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5-20" TargetMode="External"/><Relationship Id="rId3" Type="http://schemas.openxmlformats.org/officeDocument/2006/relationships/styles" Target="styles.xml"/><Relationship Id="rId7" Type="http://schemas.openxmlformats.org/officeDocument/2006/relationships/hyperlink" Target="https://zakon.rada.gov.ua/laws/show/z013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159-1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02-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9DC7-BB76-4017-A605-4800AC4E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7459</Words>
  <Characters>42521</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Ірина Юріївна</dc:creator>
  <cp:keywords/>
  <dc:description/>
  <cp:lastModifiedBy>Admin</cp:lastModifiedBy>
  <cp:revision>11</cp:revision>
  <cp:lastPrinted>2019-11-11T12:21:00Z</cp:lastPrinted>
  <dcterms:created xsi:type="dcterms:W3CDTF">2021-02-08T13:44:00Z</dcterms:created>
  <dcterms:modified xsi:type="dcterms:W3CDTF">2021-02-11T13:09:00Z</dcterms:modified>
</cp:coreProperties>
</file>