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10E4" w:rsidRPr="004E66BC" w:rsidRDefault="000A3F39" w:rsidP="00331B4A">
      <w:pPr>
        <w:pStyle w:val="10"/>
        <w:tabs>
          <w:tab w:val="left" w:pos="2940"/>
          <w:tab w:val="center" w:pos="4904"/>
        </w:tabs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 w:rsidR="00F410E4" w:rsidRPr="004E66BC">
        <w:rPr>
          <w:b/>
          <w:sz w:val="28"/>
          <w:szCs w:val="28"/>
          <w:lang w:val="ru-RU"/>
        </w:rPr>
        <w:t>Аналіз регуляторного впливу</w:t>
      </w:r>
    </w:p>
    <w:p w:rsidR="00C54822" w:rsidRPr="00F01CB4" w:rsidRDefault="00C54822" w:rsidP="00C54822">
      <w:pPr>
        <w:pStyle w:val="13"/>
        <w:tabs>
          <w:tab w:val="left" w:pos="963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1CB4">
        <w:rPr>
          <w:rFonts w:ascii="Times New Roman" w:hAnsi="Times New Roman"/>
          <w:b/>
          <w:sz w:val="28"/>
          <w:szCs w:val="28"/>
          <w:lang w:val="uk-UA" w:eastAsia="en-GB"/>
        </w:rPr>
        <w:t>проєкту наказу Міністерства розвитку економіки, торгівлі та сільського господарства України «</w:t>
      </w:r>
      <w:r w:rsidRPr="00F01CB4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</w:t>
      </w:r>
    </w:p>
    <w:p w:rsidR="00C54822" w:rsidRDefault="00C54822" w:rsidP="00C54822">
      <w:pPr>
        <w:pStyle w:val="13"/>
        <w:tabs>
          <w:tab w:val="left" w:pos="963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1CB4">
        <w:rPr>
          <w:rFonts w:ascii="Times New Roman" w:hAnsi="Times New Roman"/>
          <w:b/>
          <w:sz w:val="28"/>
          <w:szCs w:val="28"/>
          <w:lang w:val="uk-UA"/>
        </w:rPr>
        <w:t>внесення зм</w:t>
      </w:r>
      <w:r>
        <w:rPr>
          <w:rFonts w:ascii="Times New Roman" w:hAnsi="Times New Roman"/>
          <w:b/>
          <w:sz w:val="28"/>
          <w:szCs w:val="28"/>
          <w:lang w:val="uk-UA"/>
        </w:rPr>
        <w:t>ін до реєстраційних посвідчень»</w:t>
      </w:r>
      <w:r w:rsidR="00AA46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4610" w:rsidRPr="00AA4610">
        <w:rPr>
          <w:rFonts w:ascii="Times New Roman" w:hAnsi="Times New Roman"/>
          <w:sz w:val="28"/>
          <w:szCs w:val="28"/>
          <w:lang w:val="uk-UA"/>
        </w:rPr>
        <w:t>(далі – проєкт наказу)</w:t>
      </w:r>
    </w:p>
    <w:p w:rsidR="00F410E4" w:rsidRPr="00906BC7" w:rsidRDefault="00F410E4" w:rsidP="00C54822">
      <w:pPr>
        <w:ind w:right="-142"/>
        <w:jc w:val="both"/>
        <w:rPr>
          <w:lang w:val="uk-UA"/>
        </w:rPr>
      </w:pPr>
    </w:p>
    <w:p w:rsidR="00F410E4" w:rsidRPr="00906BC7" w:rsidRDefault="00F410E4" w:rsidP="00331B4A">
      <w:pPr>
        <w:pStyle w:val="10"/>
        <w:tabs>
          <w:tab w:val="left" w:pos="900"/>
        </w:tabs>
        <w:jc w:val="center"/>
        <w:rPr>
          <w:lang w:val="uk-UA"/>
        </w:rPr>
      </w:pPr>
      <w:r w:rsidRPr="00906BC7">
        <w:rPr>
          <w:b/>
          <w:sz w:val="28"/>
          <w:szCs w:val="28"/>
          <w:lang w:val="uk-UA"/>
        </w:rPr>
        <w:t>І. Визначення проблеми</w:t>
      </w:r>
    </w:p>
    <w:p w:rsidR="00F410E4" w:rsidRPr="007F1A82" w:rsidRDefault="00F410E4" w:rsidP="00331B4A">
      <w:pPr>
        <w:pStyle w:val="10"/>
        <w:jc w:val="both"/>
        <w:rPr>
          <w:sz w:val="16"/>
          <w:szCs w:val="16"/>
          <w:lang w:val="uk-UA"/>
        </w:rPr>
      </w:pPr>
    </w:p>
    <w:p w:rsidR="00C54822" w:rsidRPr="00C54822" w:rsidRDefault="00C54822" w:rsidP="00D2627B">
      <w:pPr>
        <w:ind w:firstLine="709"/>
        <w:jc w:val="both"/>
        <w:rPr>
          <w:sz w:val="28"/>
          <w:szCs w:val="28"/>
          <w:lang w:val="ru-RU" w:eastAsia="ru-RU"/>
        </w:rPr>
      </w:pPr>
      <w:r w:rsidRPr="00C54822">
        <w:rPr>
          <w:sz w:val="28"/>
          <w:szCs w:val="28"/>
          <w:lang w:val="ru-RU" w:eastAsia="ru-RU"/>
        </w:rPr>
        <w:t xml:space="preserve">З 19.01.2020 набув чинності </w:t>
      </w:r>
      <w:bookmarkStart w:id="0" w:name="_Hlk43099388"/>
      <w:r w:rsidRPr="00C54822">
        <w:rPr>
          <w:sz w:val="28"/>
          <w:szCs w:val="28"/>
          <w:lang w:val="ru-RU" w:eastAsia="ru-RU"/>
        </w:rPr>
        <w:t>Закон України «Про безпечність та гігієну кормів</w:t>
      </w:r>
      <w:bookmarkEnd w:id="0"/>
      <w:r w:rsidRPr="00C54822">
        <w:rPr>
          <w:sz w:val="28"/>
          <w:szCs w:val="28"/>
          <w:lang w:val="ru-RU" w:eastAsia="ru-RU"/>
        </w:rPr>
        <w:t xml:space="preserve">» </w:t>
      </w:r>
      <w:r w:rsidRPr="00C54822">
        <w:rPr>
          <w:sz w:val="28"/>
          <w:szCs w:val="28"/>
          <w:lang w:val="ru-RU" w:eastAsia="en-GB"/>
        </w:rPr>
        <w:t>(далі – Закон)</w:t>
      </w:r>
      <w:r w:rsidRPr="00C54822">
        <w:rPr>
          <w:sz w:val="28"/>
          <w:szCs w:val="28"/>
          <w:lang w:val="ru-RU" w:eastAsia="ru-RU"/>
        </w:rPr>
        <w:t xml:space="preserve">, проте система державної реєстрації кормових добавок не запрацювала в зв’язку з відсутністю затверджених нормативно-правових актів. </w:t>
      </w:r>
    </w:p>
    <w:p w:rsidR="00C54822" w:rsidRPr="00C54822" w:rsidRDefault="00C54822" w:rsidP="00D2627B">
      <w:pPr>
        <w:ind w:firstLine="709"/>
        <w:jc w:val="both"/>
        <w:rPr>
          <w:sz w:val="28"/>
          <w:szCs w:val="28"/>
          <w:lang w:val="ru-RU"/>
        </w:rPr>
      </w:pPr>
      <w:r w:rsidRPr="00C54822">
        <w:rPr>
          <w:sz w:val="28"/>
          <w:szCs w:val="28"/>
          <w:lang w:val="ru-RU"/>
        </w:rPr>
        <w:t>Вітчизняні виробники та імпортери можуть продовжувати вводити в обіг корми, які були зареєстровані до 19.01.2020, але Законом заборонено вводити в обіг нові готові корми, що її не мали. В результаті постійного оновлення асортименту продукції, все менше кормів можуть потрапляти на український ринок.</w:t>
      </w:r>
    </w:p>
    <w:p w:rsidR="00C54822" w:rsidRPr="00C54822" w:rsidRDefault="00C54822" w:rsidP="00D2627B">
      <w:pPr>
        <w:ind w:firstLine="709"/>
        <w:jc w:val="both"/>
        <w:rPr>
          <w:sz w:val="28"/>
          <w:szCs w:val="28"/>
          <w:lang w:val="ru-RU"/>
        </w:rPr>
      </w:pPr>
      <w:r w:rsidRPr="00C54822">
        <w:rPr>
          <w:bCs/>
          <w:sz w:val="28"/>
          <w:szCs w:val="28"/>
          <w:lang w:val="ru-RU"/>
        </w:rPr>
        <w:t>Внаслідок описаних проблем н</w:t>
      </w:r>
      <w:r w:rsidRPr="00C54822">
        <w:rPr>
          <w:sz w:val="28"/>
          <w:szCs w:val="28"/>
          <w:lang w:val="ru-RU"/>
        </w:rPr>
        <w:t>а ринку поступово збільшується дефіцит кормів, призначених як для сільськогосподарських, так і для домашніх тварин, що має негативний вплив на продуктивність і обсяги сільськогосподарського виробництва.</w:t>
      </w:r>
    </w:p>
    <w:p w:rsidR="00C54822" w:rsidRPr="00D2627B" w:rsidRDefault="00C54822" w:rsidP="00D2627B">
      <w:pPr>
        <w:pStyle w:val="1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C4246B">
        <w:rPr>
          <w:rFonts w:ascii="Times New Roman" w:hAnsi="Times New Roman"/>
          <w:sz w:val="28"/>
          <w:szCs w:val="28"/>
          <w:lang w:val="uk-UA" w:eastAsia="en-GB"/>
        </w:rPr>
        <w:t>З метою розв</w:t>
      </w:r>
      <w:r w:rsidR="00AA4610">
        <w:rPr>
          <w:rFonts w:ascii="Times New Roman" w:hAnsi="Times New Roman"/>
          <w:sz w:val="28"/>
          <w:szCs w:val="28"/>
          <w:lang w:val="uk-UA" w:eastAsia="en-GB"/>
        </w:rPr>
        <w:t>’</w:t>
      </w:r>
      <w:r w:rsidRPr="00C4246B">
        <w:rPr>
          <w:rFonts w:ascii="Times New Roman" w:hAnsi="Times New Roman"/>
          <w:sz w:val="28"/>
          <w:szCs w:val="28"/>
          <w:lang w:val="uk-UA" w:eastAsia="en-GB"/>
        </w:rPr>
        <w:t xml:space="preserve">язання проблеми відповідно до пункту 6 розділу Х </w:t>
      </w:r>
      <w:r>
        <w:rPr>
          <w:rFonts w:ascii="Times New Roman" w:hAnsi="Times New Roman"/>
          <w:sz w:val="28"/>
          <w:szCs w:val="28"/>
          <w:lang w:val="uk-UA" w:eastAsia="en-GB"/>
        </w:rPr>
        <w:t xml:space="preserve">Закону </w:t>
      </w:r>
      <w:r w:rsidRPr="00C4246B">
        <w:rPr>
          <w:rFonts w:ascii="Times New Roman" w:hAnsi="Times New Roman"/>
          <w:sz w:val="28"/>
          <w:szCs w:val="28"/>
          <w:lang w:val="uk-UA" w:eastAsia="en-GB"/>
        </w:rPr>
        <w:t>п</w:t>
      </w:r>
      <w:r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ротягом чотирьох років з дня набрання чинності цим Законом дозволяються виробництво, ввезення (пересилання) на митну територію України, обіг та використання готових кормів, преміксів та кормових добавок, зареєстрованих відповідно до </w:t>
      </w:r>
      <w:hyperlink r:id="rId8" w:tgtFrame="_blank" w:history="1">
        <w:r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Закону </w:t>
        </w:r>
        <w:r w:rsidRPr="00C54822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України</w:t>
        </w:r>
      </w:hyperlink>
      <w:r w:rsidRPr="00C548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C42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ветеринарну медицину», за умови наявності на день набрання чинності цим Законом дійсних реєстраційних посвідчень, виданих на відповідні готові корми, премікси або кормові добавки.</w:t>
      </w:r>
    </w:p>
    <w:p w:rsidR="00C54822" w:rsidRDefault="00C54822" w:rsidP="00D2627B">
      <w:pPr>
        <w:pStyle w:val="13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46B">
        <w:rPr>
          <w:rFonts w:ascii="Times New Roman" w:hAnsi="Times New Roman"/>
          <w:sz w:val="28"/>
          <w:szCs w:val="28"/>
          <w:lang w:val="uk-UA" w:eastAsia="en-GB"/>
        </w:rPr>
        <w:t xml:space="preserve">Поряд з цим, Законом передбачено затвердження </w:t>
      </w:r>
      <w:r w:rsidR="00AA4610">
        <w:rPr>
          <w:rFonts w:ascii="Times New Roman" w:hAnsi="Times New Roman"/>
          <w:sz w:val="28"/>
          <w:szCs w:val="28"/>
          <w:lang w:val="uk-UA" w:eastAsia="en-GB"/>
        </w:rPr>
        <w:t>П</w:t>
      </w:r>
      <w:r w:rsidRPr="00C4246B">
        <w:rPr>
          <w:rFonts w:ascii="Times New Roman" w:hAnsi="Times New Roman"/>
          <w:sz w:val="28"/>
          <w:szCs w:val="28"/>
          <w:lang w:val="uk-UA" w:eastAsia="en-GB"/>
        </w:rPr>
        <w:t xml:space="preserve">орядку внесення змін до реєстраційних посвідчень, спрямоване на продовження ввезення </w:t>
      </w:r>
      <w:r w:rsidRPr="00C4246B">
        <w:rPr>
          <w:rFonts w:ascii="Times New Roman" w:hAnsi="Times New Roman"/>
          <w:sz w:val="28"/>
          <w:szCs w:val="28"/>
          <w:lang w:val="uk-UA"/>
        </w:rPr>
        <w:t xml:space="preserve">кормових добавок, преміксів та готових кормів, які були зареєстровані </w:t>
      </w:r>
      <w:r w:rsidRPr="00C4246B">
        <w:rPr>
          <w:rFonts w:ascii="Times New Roman" w:hAnsi="Times New Roman"/>
          <w:sz w:val="28"/>
          <w:szCs w:val="28"/>
          <w:lang w:val="uk-UA" w:eastAsia="ru-RU"/>
        </w:rPr>
        <w:t>відповідно до Закону України «Про ветеринарну медицину».</w:t>
      </w:r>
    </w:p>
    <w:p w:rsidR="00C54822" w:rsidRPr="00C54822" w:rsidRDefault="00C54822" w:rsidP="00D2627B">
      <w:pPr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C54822">
        <w:rPr>
          <w:sz w:val="28"/>
          <w:szCs w:val="28"/>
          <w:lang w:val="ru-RU" w:eastAsia="ru-RU"/>
        </w:rPr>
        <w:t xml:space="preserve">Проєкт наказу розроблено </w:t>
      </w:r>
      <w:r w:rsidRPr="00C54822">
        <w:rPr>
          <w:sz w:val="28"/>
          <w:szCs w:val="28"/>
          <w:lang w:val="ru-RU" w:eastAsia="en-GB"/>
        </w:rPr>
        <w:t>відповідно до абзацу третього пункту 6 розділу Х Закону України «Про безпечність та гігієну кормів».</w:t>
      </w:r>
    </w:p>
    <w:p w:rsidR="000370D3" w:rsidRPr="00C54822" w:rsidRDefault="009501A1" w:rsidP="00D2627B">
      <w:pPr>
        <w:pStyle w:val="10"/>
        <w:ind w:firstLine="709"/>
        <w:jc w:val="both"/>
        <w:rPr>
          <w:sz w:val="28"/>
          <w:szCs w:val="28"/>
          <w:lang w:val="ru-RU"/>
        </w:rPr>
      </w:pPr>
      <w:r w:rsidRPr="00ED7352">
        <w:rPr>
          <w:sz w:val="28"/>
          <w:szCs w:val="28"/>
          <w:lang w:val="ru-RU"/>
        </w:rPr>
        <w:t>Орієнтовно</w:t>
      </w:r>
      <w:r w:rsidRPr="00C54822">
        <w:rPr>
          <w:sz w:val="28"/>
          <w:szCs w:val="28"/>
          <w:lang w:val="ru-RU"/>
        </w:rPr>
        <w:t xml:space="preserve"> </w:t>
      </w:r>
      <w:r w:rsidRPr="00ED7352">
        <w:rPr>
          <w:sz w:val="28"/>
          <w:szCs w:val="28"/>
          <w:lang w:val="ru-RU"/>
        </w:rPr>
        <w:t>у</w:t>
      </w:r>
      <w:r w:rsidR="00C54822">
        <w:rPr>
          <w:sz w:val="28"/>
          <w:szCs w:val="28"/>
          <w:lang w:val="ru-RU"/>
        </w:rPr>
        <w:t xml:space="preserve"> 2019</w:t>
      </w:r>
      <w:r w:rsidRPr="00C54822">
        <w:rPr>
          <w:sz w:val="28"/>
          <w:szCs w:val="28"/>
          <w:lang w:val="ru-RU"/>
        </w:rPr>
        <w:t xml:space="preserve"> </w:t>
      </w:r>
      <w:r w:rsidRPr="00ED7352">
        <w:rPr>
          <w:sz w:val="28"/>
          <w:szCs w:val="28"/>
          <w:lang w:val="ru-RU"/>
        </w:rPr>
        <w:t>році</w:t>
      </w:r>
      <w:r w:rsidRPr="00C54822">
        <w:rPr>
          <w:sz w:val="28"/>
          <w:szCs w:val="28"/>
          <w:lang w:val="ru-RU"/>
        </w:rPr>
        <w:t xml:space="preserve"> </w:t>
      </w:r>
      <w:r w:rsidRPr="00ED7352">
        <w:rPr>
          <w:sz w:val="28"/>
          <w:szCs w:val="28"/>
          <w:lang w:val="ru-RU"/>
        </w:rPr>
        <w:t>в</w:t>
      </w:r>
      <w:r w:rsidRPr="00C54822">
        <w:rPr>
          <w:sz w:val="28"/>
          <w:szCs w:val="28"/>
          <w:lang w:val="ru-RU"/>
        </w:rPr>
        <w:t xml:space="preserve"> </w:t>
      </w:r>
      <w:r w:rsidRPr="00ED7352">
        <w:rPr>
          <w:sz w:val="28"/>
          <w:szCs w:val="28"/>
          <w:lang w:val="ru-RU"/>
        </w:rPr>
        <w:t>Україні</w:t>
      </w:r>
      <w:r w:rsidRPr="00C54822">
        <w:rPr>
          <w:sz w:val="28"/>
          <w:szCs w:val="28"/>
          <w:lang w:val="ru-RU"/>
        </w:rPr>
        <w:t xml:space="preserve"> </w:t>
      </w:r>
      <w:r w:rsidRPr="00ED7352">
        <w:rPr>
          <w:sz w:val="28"/>
          <w:szCs w:val="28"/>
          <w:lang w:val="ru-RU"/>
        </w:rPr>
        <w:t>зареєстровано</w:t>
      </w:r>
      <w:r w:rsidRPr="00C54822">
        <w:rPr>
          <w:sz w:val="28"/>
          <w:szCs w:val="28"/>
          <w:lang w:val="ru-RU"/>
        </w:rPr>
        <w:t xml:space="preserve"> </w:t>
      </w:r>
      <w:r w:rsidR="00013ACE" w:rsidRPr="00C54822">
        <w:rPr>
          <w:sz w:val="28"/>
          <w:szCs w:val="28"/>
          <w:lang w:val="ru-RU"/>
        </w:rPr>
        <w:t>7 340</w:t>
      </w:r>
      <w:r w:rsidR="00ED7352" w:rsidRPr="00C54822">
        <w:rPr>
          <w:sz w:val="28"/>
          <w:szCs w:val="28"/>
          <w:lang w:val="ru-RU"/>
        </w:rPr>
        <w:t xml:space="preserve"> </w:t>
      </w:r>
      <w:r w:rsidR="005F4E67" w:rsidRPr="00ED7352">
        <w:rPr>
          <w:sz w:val="28"/>
          <w:szCs w:val="28"/>
          <w:lang w:val="ru-RU"/>
        </w:rPr>
        <w:t>суб</w:t>
      </w:r>
      <w:r w:rsidR="00ED7352" w:rsidRPr="00C54822">
        <w:rPr>
          <w:sz w:val="28"/>
          <w:szCs w:val="28"/>
          <w:lang w:val="ru-RU"/>
        </w:rPr>
        <w:t>’</w:t>
      </w:r>
      <w:r w:rsidR="005F4E67" w:rsidRPr="00ED7352">
        <w:rPr>
          <w:sz w:val="28"/>
          <w:szCs w:val="28"/>
          <w:lang w:val="ru-RU"/>
        </w:rPr>
        <w:t>єктів</w:t>
      </w:r>
      <w:r w:rsidR="005F4E67" w:rsidRPr="00C54822">
        <w:rPr>
          <w:sz w:val="28"/>
          <w:szCs w:val="28"/>
          <w:lang w:val="ru-RU"/>
        </w:rPr>
        <w:t xml:space="preserve"> </w:t>
      </w:r>
      <w:r w:rsidR="005F4E67" w:rsidRPr="00ED7352">
        <w:rPr>
          <w:sz w:val="28"/>
          <w:szCs w:val="28"/>
          <w:lang w:val="ru-RU"/>
        </w:rPr>
        <w:t>господарювання</w:t>
      </w:r>
      <w:r w:rsidRPr="00C54822">
        <w:rPr>
          <w:sz w:val="28"/>
          <w:szCs w:val="28"/>
          <w:lang w:val="ru-RU"/>
        </w:rPr>
        <w:t xml:space="preserve">, </w:t>
      </w:r>
      <w:r w:rsidR="005F4E67" w:rsidRPr="00ED7352">
        <w:rPr>
          <w:sz w:val="28"/>
          <w:szCs w:val="28"/>
          <w:lang w:val="ru-RU"/>
        </w:rPr>
        <w:t>діяльність</w:t>
      </w:r>
      <w:r w:rsidR="005F4E67" w:rsidRPr="00C54822">
        <w:rPr>
          <w:sz w:val="28"/>
          <w:szCs w:val="28"/>
          <w:lang w:val="ru-RU"/>
        </w:rPr>
        <w:t xml:space="preserve"> </w:t>
      </w:r>
      <w:r w:rsidR="005F4E67" w:rsidRPr="00ED7352">
        <w:rPr>
          <w:sz w:val="28"/>
          <w:szCs w:val="28"/>
          <w:lang w:val="ru-RU"/>
        </w:rPr>
        <w:t>яких</w:t>
      </w:r>
      <w:r w:rsidR="005F4E67" w:rsidRPr="00C54822">
        <w:rPr>
          <w:sz w:val="28"/>
          <w:szCs w:val="28"/>
          <w:lang w:val="ru-RU"/>
        </w:rPr>
        <w:t xml:space="preserve"> </w:t>
      </w:r>
      <w:r w:rsidR="005F4E67" w:rsidRPr="00ED7352">
        <w:rPr>
          <w:sz w:val="28"/>
          <w:szCs w:val="28"/>
          <w:lang w:val="ru-RU"/>
        </w:rPr>
        <w:t>пов</w:t>
      </w:r>
      <w:r w:rsidR="00FA1EEE" w:rsidRPr="00C54822">
        <w:rPr>
          <w:sz w:val="28"/>
          <w:szCs w:val="28"/>
          <w:lang w:val="ru-RU"/>
        </w:rPr>
        <w:t>’</w:t>
      </w:r>
      <w:r w:rsidR="005F4E67" w:rsidRPr="00ED7352">
        <w:rPr>
          <w:sz w:val="28"/>
          <w:szCs w:val="28"/>
          <w:lang w:val="ru-RU"/>
        </w:rPr>
        <w:t>язана</w:t>
      </w:r>
      <w:r w:rsidR="005F4E67" w:rsidRPr="00C54822">
        <w:rPr>
          <w:sz w:val="28"/>
          <w:szCs w:val="28"/>
          <w:lang w:val="ru-RU"/>
        </w:rPr>
        <w:t xml:space="preserve"> </w:t>
      </w:r>
      <w:r w:rsidR="005F4E67" w:rsidRPr="00ED7352">
        <w:rPr>
          <w:sz w:val="28"/>
          <w:szCs w:val="28"/>
          <w:lang w:val="ru-RU"/>
        </w:rPr>
        <w:t>з</w:t>
      </w:r>
      <w:r w:rsidR="005F4E67" w:rsidRPr="00C54822">
        <w:rPr>
          <w:sz w:val="28"/>
          <w:szCs w:val="28"/>
          <w:lang w:val="ru-RU"/>
        </w:rPr>
        <w:t xml:space="preserve"> </w:t>
      </w:r>
      <w:r w:rsidR="005F4E67" w:rsidRPr="00ED7352">
        <w:rPr>
          <w:sz w:val="28"/>
          <w:szCs w:val="28"/>
          <w:lang w:val="ru-RU"/>
        </w:rPr>
        <w:t>виробництвом</w:t>
      </w:r>
      <w:r w:rsidR="005F4E67" w:rsidRPr="00C54822">
        <w:rPr>
          <w:sz w:val="28"/>
          <w:szCs w:val="28"/>
          <w:lang w:val="ru-RU"/>
        </w:rPr>
        <w:t xml:space="preserve"> </w:t>
      </w:r>
      <w:r w:rsidR="005F4E67" w:rsidRPr="00ED7352">
        <w:rPr>
          <w:sz w:val="28"/>
          <w:szCs w:val="28"/>
          <w:lang w:val="ru-RU"/>
        </w:rPr>
        <w:t>та</w:t>
      </w:r>
      <w:r w:rsidR="005F4E67" w:rsidRPr="00C54822">
        <w:rPr>
          <w:sz w:val="28"/>
          <w:szCs w:val="28"/>
          <w:lang w:val="ru-RU"/>
        </w:rPr>
        <w:t xml:space="preserve"> </w:t>
      </w:r>
      <w:r w:rsidR="005F4E67" w:rsidRPr="00ED7352">
        <w:rPr>
          <w:sz w:val="28"/>
          <w:szCs w:val="28"/>
          <w:lang w:val="ru-RU"/>
        </w:rPr>
        <w:t>обігом</w:t>
      </w:r>
      <w:r w:rsidR="005F4E67" w:rsidRPr="00C54822">
        <w:rPr>
          <w:sz w:val="28"/>
          <w:szCs w:val="28"/>
          <w:lang w:val="ru-RU"/>
        </w:rPr>
        <w:t xml:space="preserve"> </w:t>
      </w:r>
      <w:r w:rsidR="005F4E67" w:rsidRPr="00ED7352">
        <w:rPr>
          <w:sz w:val="28"/>
          <w:szCs w:val="28"/>
          <w:lang w:val="ru-RU"/>
        </w:rPr>
        <w:t>кормів</w:t>
      </w:r>
      <w:r w:rsidR="005F4E67" w:rsidRPr="00C54822">
        <w:rPr>
          <w:sz w:val="28"/>
          <w:szCs w:val="28"/>
          <w:lang w:val="ru-RU"/>
        </w:rPr>
        <w:t>.</w:t>
      </w:r>
    </w:p>
    <w:p w:rsidR="009501A1" w:rsidRPr="009501A1" w:rsidRDefault="009501A1" w:rsidP="00D2627B">
      <w:pPr>
        <w:pStyle w:val="10"/>
        <w:ind w:firstLine="709"/>
        <w:jc w:val="both"/>
        <w:rPr>
          <w:sz w:val="28"/>
          <w:szCs w:val="28"/>
          <w:lang w:val="ru-RU"/>
        </w:rPr>
      </w:pPr>
      <w:r w:rsidRPr="009501A1">
        <w:rPr>
          <w:sz w:val="28"/>
          <w:szCs w:val="28"/>
          <w:lang w:val="ru-RU"/>
        </w:rPr>
        <w:t xml:space="preserve">Всі вищезгадані суб’єкти підпадають під визначення операторів ринку </w:t>
      </w:r>
      <w:r w:rsidR="005F4E67">
        <w:rPr>
          <w:sz w:val="28"/>
          <w:szCs w:val="28"/>
          <w:lang w:val="ru-RU"/>
        </w:rPr>
        <w:t>кормів</w:t>
      </w:r>
      <w:r w:rsidRPr="009501A1">
        <w:rPr>
          <w:sz w:val="28"/>
          <w:szCs w:val="28"/>
          <w:lang w:val="ru-RU"/>
        </w:rPr>
        <w:t>, знаходяться під ветеринарно-санітарним контролем і наглядом та на них розповсюджуються вимоги регулювання.</w:t>
      </w:r>
    </w:p>
    <w:p w:rsidR="005F4E67" w:rsidRDefault="009501A1" w:rsidP="00D2627B">
      <w:pPr>
        <w:pStyle w:val="10"/>
        <w:ind w:firstLine="709"/>
        <w:jc w:val="both"/>
        <w:rPr>
          <w:sz w:val="28"/>
          <w:szCs w:val="28"/>
          <w:lang w:val="ru-RU"/>
        </w:rPr>
      </w:pPr>
      <w:r w:rsidRPr="009501A1">
        <w:rPr>
          <w:sz w:val="28"/>
          <w:szCs w:val="28"/>
          <w:lang w:val="ru-RU"/>
        </w:rPr>
        <w:t xml:space="preserve">Виключенням є суб’єкти, що здійснюють </w:t>
      </w:r>
      <w:r w:rsidR="005F4E67">
        <w:rPr>
          <w:sz w:val="28"/>
          <w:szCs w:val="28"/>
          <w:lang w:val="ru-RU"/>
        </w:rPr>
        <w:t xml:space="preserve">власне </w:t>
      </w:r>
      <w:r w:rsidRPr="009501A1">
        <w:rPr>
          <w:sz w:val="28"/>
          <w:szCs w:val="28"/>
          <w:lang w:val="ru-RU"/>
        </w:rPr>
        <w:t xml:space="preserve">виробництво </w:t>
      </w:r>
      <w:r w:rsidR="005F4E67">
        <w:rPr>
          <w:sz w:val="28"/>
          <w:szCs w:val="28"/>
          <w:lang w:val="ru-RU"/>
        </w:rPr>
        <w:t>кормів для продуктивних тварин, що утримуються з метою виробництва харчових продуктів для власного споживання, а також на власне виробництво кормів для непродуктивних тварин.</w:t>
      </w:r>
    </w:p>
    <w:p w:rsidR="00F410E4" w:rsidRPr="00112C0D" w:rsidRDefault="009501A1" w:rsidP="00D2627B">
      <w:pPr>
        <w:pStyle w:val="10"/>
        <w:ind w:firstLine="709"/>
        <w:jc w:val="both"/>
        <w:rPr>
          <w:lang w:val="ru-RU"/>
        </w:rPr>
      </w:pPr>
      <w:r w:rsidRPr="009501A1">
        <w:rPr>
          <w:sz w:val="28"/>
          <w:szCs w:val="28"/>
          <w:lang w:val="ru-RU"/>
        </w:rPr>
        <w:t xml:space="preserve">Жоден з ринкових механізмів не може бути застосований для </w:t>
      </w:r>
      <w:r w:rsidRPr="009501A1">
        <w:rPr>
          <w:sz w:val="28"/>
          <w:szCs w:val="28"/>
          <w:lang w:val="ru-RU"/>
        </w:rPr>
        <w:lastRenderedPageBreak/>
        <w:t>розв’язання зазначеної проблеми, оскільки не регулюються ринковими механізмами.</w:t>
      </w:r>
    </w:p>
    <w:p w:rsidR="00C54822" w:rsidRDefault="00F410E4" w:rsidP="00D2627B">
      <w:pPr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C54822">
        <w:rPr>
          <w:sz w:val="28"/>
          <w:szCs w:val="28"/>
          <w:lang w:val="ru-RU"/>
        </w:rPr>
        <w:t>Враховуючи вищевикладене</w:t>
      </w:r>
      <w:r w:rsidR="00FA1EEE" w:rsidRPr="00C54822">
        <w:rPr>
          <w:sz w:val="28"/>
          <w:szCs w:val="28"/>
          <w:lang w:val="ru-RU"/>
        </w:rPr>
        <w:t>,</w:t>
      </w:r>
      <w:r w:rsidRPr="00C54822">
        <w:rPr>
          <w:sz w:val="28"/>
          <w:szCs w:val="28"/>
          <w:lang w:val="ru-RU"/>
        </w:rPr>
        <w:t xml:space="preserve"> </w:t>
      </w:r>
      <w:r w:rsidR="00C54822">
        <w:rPr>
          <w:sz w:val="28"/>
          <w:szCs w:val="28"/>
          <w:lang w:val="ru-RU"/>
        </w:rPr>
        <w:t>п</w:t>
      </w:r>
      <w:r w:rsidR="00C54822" w:rsidRPr="00C54822">
        <w:rPr>
          <w:sz w:val="28"/>
          <w:szCs w:val="28"/>
          <w:lang w:val="ru-RU"/>
        </w:rPr>
        <w:t xml:space="preserve">рийняття наказу дозволить 7 340 </w:t>
      </w:r>
      <w:r w:rsidR="00C54822" w:rsidRPr="00ED7352">
        <w:rPr>
          <w:sz w:val="28"/>
          <w:szCs w:val="28"/>
          <w:lang w:val="ru-RU"/>
        </w:rPr>
        <w:t>суб</w:t>
      </w:r>
      <w:r w:rsidR="00C54822" w:rsidRPr="00C54822">
        <w:rPr>
          <w:sz w:val="28"/>
          <w:szCs w:val="28"/>
          <w:lang w:val="ru-RU"/>
        </w:rPr>
        <w:t>’</w:t>
      </w:r>
      <w:r w:rsidR="00C54822">
        <w:rPr>
          <w:sz w:val="28"/>
          <w:szCs w:val="28"/>
          <w:lang w:val="ru-RU"/>
        </w:rPr>
        <w:t>єктам</w:t>
      </w:r>
      <w:r w:rsidR="00C54822" w:rsidRPr="00C54822">
        <w:rPr>
          <w:sz w:val="28"/>
          <w:szCs w:val="28"/>
          <w:lang w:val="ru-RU"/>
        </w:rPr>
        <w:t xml:space="preserve"> </w:t>
      </w:r>
      <w:r w:rsidR="00C54822" w:rsidRPr="00ED7352">
        <w:rPr>
          <w:sz w:val="28"/>
          <w:szCs w:val="28"/>
          <w:lang w:val="ru-RU"/>
        </w:rPr>
        <w:t>господарювання</w:t>
      </w:r>
      <w:r w:rsidR="00C54822" w:rsidRPr="00C54822">
        <w:rPr>
          <w:sz w:val="28"/>
          <w:szCs w:val="28"/>
          <w:lang w:val="ru-RU"/>
        </w:rPr>
        <w:t xml:space="preserve">, </w:t>
      </w:r>
      <w:r w:rsidR="00C54822" w:rsidRPr="00ED7352">
        <w:rPr>
          <w:sz w:val="28"/>
          <w:szCs w:val="28"/>
          <w:lang w:val="ru-RU"/>
        </w:rPr>
        <w:t>діяльність</w:t>
      </w:r>
      <w:r w:rsidR="00C54822" w:rsidRPr="00C54822">
        <w:rPr>
          <w:sz w:val="28"/>
          <w:szCs w:val="28"/>
          <w:lang w:val="ru-RU"/>
        </w:rPr>
        <w:t xml:space="preserve"> </w:t>
      </w:r>
      <w:r w:rsidR="00C54822" w:rsidRPr="00ED7352">
        <w:rPr>
          <w:sz w:val="28"/>
          <w:szCs w:val="28"/>
          <w:lang w:val="ru-RU"/>
        </w:rPr>
        <w:t>яких</w:t>
      </w:r>
      <w:r w:rsidR="00C54822" w:rsidRPr="00C54822">
        <w:rPr>
          <w:sz w:val="28"/>
          <w:szCs w:val="28"/>
          <w:lang w:val="ru-RU"/>
        </w:rPr>
        <w:t xml:space="preserve"> </w:t>
      </w:r>
      <w:r w:rsidR="00C54822" w:rsidRPr="00ED7352">
        <w:rPr>
          <w:sz w:val="28"/>
          <w:szCs w:val="28"/>
          <w:lang w:val="ru-RU"/>
        </w:rPr>
        <w:t>пов</w:t>
      </w:r>
      <w:r w:rsidR="00C54822" w:rsidRPr="00C54822">
        <w:rPr>
          <w:sz w:val="28"/>
          <w:szCs w:val="28"/>
          <w:lang w:val="ru-RU"/>
        </w:rPr>
        <w:t>’</w:t>
      </w:r>
      <w:r w:rsidR="00C54822" w:rsidRPr="00ED7352">
        <w:rPr>
          <w:sz w:val="28"/>
          <w:szCs w:val="28"/>
          <w:lang w:val="ru-RU"/>
        </w:rPr>
        <w:t>язана</w:t>
      </w:r>
      <w:r w:rsidR="00C54822" w:rsidRPr="00C54822">
        <w:rPr>
          <w:sz w:val="28"/>
          <w:szCs w:val="28"/>
          <w:lang w:val="ru-RU"/>
        </w:rPr>
        <w:t xml:space="preserve"> </w:t>
      </w:r>
      <w:r w:rsidR="00C54822" w:rsidRPr="00ED7352">
        <w:rPr>
          <w:sz w:val="28"/>
          <w:szCs w:val="28"/>
          <w:lang w:val="ru-RU"/>
        </w:rPr>
        <w:t>з</w:t>
      </w:r>
      <w:r w:rsidR="00C54822" w:rsidRPr="00C54822">
        <w:rPr>
          <w:sz w:val="28"/>
          <w:szCs w:val="28"/>
          <w:lang w:val="ru-RU"/>
        </w:rPr>
        <w:t xml:space="preserve"> </w:t>
      </w:r>
      <w:r w:rsidR="00C54822" w:rsidRPr="00ED7352">
        <w:rPr>
          <w:sz w:val="28"/>
          <w:szCs w:val="28"/>
          <w:lang w:val="ru-RU"/>
        </w:rPr>
        <w:t>виробництвом</w:t>
      </w:r>
      <w:r w:rsidR="00C54822" w:rsidRPr="00C54822">
        <w:rPr>
          <w:sz w:val="28"/>
          <w:szCs w:val="28"/>
          <w:lang w:val="ru-RU"/>
        </w:rPr>
        <w:t xml:space="preserve"> </w:t>
      </w:r>
      <w:r w:rsidR="00C54822" w:rsidRPr="00ED7352">
        <w:rPr>
          <w:sz w:val="28"/>
          <w:szCs w:val="28"/>
          <w:lang w:val="ru-RU"/>
        </w:rPr>
        <w:t>та</w:t>
      </w:r>
      <w:r w:rsidR="00C54822" w:rsidRPr="00C54822">
        <w:rPr>
          <w:sz w:val="28"/>
          <w:szCs w:val="28"/>
          <w:lang w:val="ru-RU"/>
        </w:rPr>
        <w:t xml:space="preserve"> </w:t>
      </w:r>
      <w:r w:rsidR="00C54822" w:rsidRPr="00ED7352">
        <w:rPr>
          <w:sz w:val="28"/>
          <w:szCs w:val="28"/>
          <w:lang w:val="ru-RU"/>
        </w:rPr>
        <w:t>обігом</w:t>
      </w:r>
      <w:r w:rsidR="00C54822" w:rsidRPr="00C54822">
        <w:rPr>
          <w:sz w:val="28"/>
          <w:szCs w:val="28"/>
          <w:lang w:val="ru-RU"/>
        </w:rPr>
        <w:t xml:space="preserve"> </w:t>
      </w:r>
      <w:r w:rsidR="00C54822" w:rsidRPr="00ED7352">
        <w:rPr>
          <w:sz w:val="28"/>
          <w:szCs w:val="28"/>
          <w:lang w:val="ru-RU"/>
        </w:rPr>
        <w:t>кормів</w:t>
      </w:r>
      <w:r w:rsidR="00C54822">
        <w:rPr>
          <w:sz w:val="28"/>
          <w:szCs w:val="28"/>
          <w:lang w:val="ru-RU"/>
        </w:rPr>
        <w:t>,</w:t>
      </w:r>
      <w:r w:rsidR="00C54822" w:rsidRPr="00C54822">
        <w:rPr>
          <w:sz w:val="28"/>
          <w:szCs w:val="28"/>
          <w:lang w:val="ru-RU"/>
        </w:rPr>
        <w:t xml:space="preserve"> забезпечити</w:t>
      </w:r>
      <w:r w:rsidR="00C54822" w:rsidRPr="00C54822">
        <w:rPr>
          <w:sz w:val="28"/>
          <w:szCs w:val="28"/>
          <w:shd w:val="clear" w:color="auto" w:fill="FFFFFF"/>
          <w:lang w:val="ru-RU"/>
        </w:rPr>
        <w:t xml:space="preserve"> обіг та використання готових кормів, преміксів та кормових добавок, зареєстрованих відповідно до</w:t>
      </w:r>
      <w:r w:rsidR="00C54822" w:rsidRPr="00C4246B">
        <w:rPr>
          <w:sz w:val="28"/>
          <w:szCs w:val="28"/>
          <w:shd w:val="clear" w:color="auto" w:fill="FFFFFF"/>
        </w:rPr>
        <w:t> </w:t>
      </w:r>
      <w:hyperlink r:id="rId9" w:tgtFrame="_blank" w:history="1">
        <w:r w:rsidR="00C54822" w:rsidRPr="00C54822">
          <w:rPr>
            <w:rStyle w:val="af2"/>
            <w:color w:val="auto"/>
            <w:sz w:val="28"/>
            <w:szCs w:val="28"/>
            <w:u w:val="none"/>
            <w:shd w:val="clear" w:color="auto" w:fill="FFFFFF"/>
            <w:lang w:val="ru-RU"/>
          </w:rPr>
          <w:t>Закону України</w:t>
        </w:r>
      </w:hyperlink>
      <w:r w:rsidR="00C54822" w:rsidRPr="00C54822">
        <w:rPr>
          <w:sz w:val="28"/>
          <w:szCs w:val="28"/>
          <w:shd w:val="clear" w:color="auto" w:fill="FFFFFF"/>
        </w:rPr>
        <w:t> </w:t>
      </w:r>
      <w:r w:rsidR="00C54822" w:rsidRPr="00C54822">
        <w:rPr>
          <w:sz w:val="28"/>
          <w:szCs w:val="28"/>
          <w:shd w:val="clear" w:color="auto" w:fill="FFFFFF"/>
          <w:lang w:val="ru-RU"/>
        </w:rPr>
        <w:t>«Про ветеринарну медицину», за умови наявності на день набрання чинності цим Законом дійсних реєстраційних посвідчень, виданих на відповідні готові корми, премікси або кормові добавки.</w:t>
      </w:r>
    </w:p>
    <w:p w:rsidR="00C80229" w:rsidRPr="00C80229" w:rsidRDefault="00C80229" w:rsidP="00D2627B">
      <w:pPr>
        <w:ind w:firstLine="709"/>
        <w:jc w:val="both"/>
        <w:rPr>
          <w:sz w:val="28"/>
          <w:szCs w:val="28"/>
          <w:lang w:val="ru-RU" w:eastAsia="ru-RU"/>
        </w:rPr>
      </w:pPr>
      <w:r w:rsidRPr="00C80229">
        <w:rPr>
          <w:sz w:val="28"/>
          <w:szCs w:val="28"/>
          <w:lang w:val="ru-RU" w:eastAsia="ru-RU"/>
        </w:rPr>
        <w:t>Проєкт наказу має тимчасовий характ</w:t>
      </w:r>
      <w:r w:rsidR="00D2627B">
        <w:rPr>
          <w:sz w:val="28"/>
          <w:szCs w:val="28"/>
          <w:lang w:val="ru-RU" w:eastAsia="ru-RU"/>
        </w:rPr>
        <w:t xml:space="preserve">ер </w:t>
      </w:r>
      <w:r w:rsidR="00D2627B">
        <w:rPr>
          <w:sz w:val="28"/>
          <w:szCs w:val="28"/>
          <w:lang w:val="uk-UA" w:eastAsia="ru-RU"/>
        </w:rPr>
        <w:t>та діє до</w:t>
      </w:r>
      <w:r w:rsidRPr="00C80229">
        <w:rPr>
          <w:sz w:val="28"/>
          <w:szCs w:val="28"/>
          <w:lang w:val="ru-RU" w:eastAsia="ru-RU"/>
        </w:rPr>
        <w:t xml:space="preserve"> 19.01.2024.</w:t>
      </w:r>
    </w:p>
    <w:p w:rsidR="00F410E4" w:rsidRPr="00C54822" w:rsidRDefault="00F410E4" w:rsidP="00C80229">
      <w:pPr>
        <w:jc w:val="both"/>
        <w:rPr>
          <w:sz w:val="16"/>
          <w:szCs w:val="16"/>
          <w:lang w:val="uk-UA"/>
        </w:rPr>
      </w:pPr>
    </w:p>
    <w:p w:rsidR="00F410E4" w:rsidRPr="00112C0D" w:rsidRDefault="00F410E4" w:rsidP="00331B4A">
      <w:pPr>
        <w:pStyle w:val="10"/>
        <w:ind w:firstLine="708"/>
        <w:jc w:val="center"/>
        <w:rPr>
          <w:lang w:val="ru-RU"/>
        </w:rPr>
      </w:pPr>
      <w:r w:rsidRPr="00112C0D">
        <w:rPr>
          <w:b/>
          <w:sz w:val="28"/>
          <w:szCs w:val="28"/>
          <w:lang w:val="ru-RU"/>
        </w:rPr>
        <w:t>Основні групи (підгрупи), на які проблема справляє вплив:</w:t>
      </w:r>
    </w:p>
    <w:tbl>
      <w:tblPr>
        <w:bidiVisual/>
        <w:tblW w:w="964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2870"/>
        <w:gridCol w:w="3649"/>
      </w:tblGrid>
      <w:tr w:rsidR="00F410E4" w:rsidTr="00331B4A">
        <w:tc>
          <w:tcPr>
            <w:tcW w:w="3123" w:type="dxa"/>
          </w:tcPr>
          <w:p w:rsidR="00F410E4" w:rsidRPr="002018AF" w:rsidRDefault="002018AF" w:rsidP="00331B4A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2018AF">
              <w:rPr>
                <w:sz w:val="28"/>
                <w:szCs w:val="28"/>
                <w:lang w:val="uk-UA"/>
              </w:rPr>
              <w:t>Ні</w:t>
            </w:r>
          </w:p>
        </w:tc>
        <w:tc>
          <w:tcPr>
            <w:tcW w:w="2870" w:type="dxa"/>
          </w:tcPr>
          <w:p w:rsidR="00F410E4" w:rsidRPr="000370D3" w:rsidRDefault="002018AF" w:rsidP="00331B4A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B61C9B">
              <w:rPr>
                <w:sz w:val="28"/>
                <w:szCs w:val="28"/>
              </w:rPr>
              <w:t>Так</w:t>
            </w:r>
          </w:p>
        </w:tc>
        <w:tc>
          <w:tcPr>
            <w:tcW w:w="3649" w:type="dxa"/>
          </w:tcPr>
          <w:p w:rsidR="00F410E4" w:rsidRDefault="000370D3" w:rsidP="000370D3">
            <w:pPr>
              <w:pStyle w:val="10"/>
            </w:pPr>
            <w:r w:rsidRPr="00B61C9B">
              <w:rPr>
                <w:sz w:val="28"/>
                <w:szCs w:val="28"/>
              </w:rPr>
              <w:t>Групи (підгрупи)</w:t>
            </w:r>
          </w:p>
        </w:tc>
      </w:tr>
      <w:tr w:rsidR="002018AF" w:rsidTr="00331B4A">
        <w:tc>
          <w:tcPr>
            <w:tcW w:w="3123" w:type="dxa"/>
          </w:tcPr>
          <w:p w:rsidR="002018AF" w:rsidRPr="000370D3" w:rsidRDefault="00C80229" w:rsidP="002018AF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870" w:type="dxa"/>
          </w:tcPr>
          <w:p w:rsidR="002018AF" w:rsidRPr="000370D3" w:rsidRDefault="00C80229" w:rsidP="002018AF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49" w:type="dxa"/>
          </w:tcPr>
          <w:p w:rsidR="002018AF" w:rsidRDefault="002018AF" w:rsidP="002018AF">
            <w:pPr>
              <w:pStyle w:val="10"/>
              <w:jc w:val="both"/>
            </w:pPr>
            <w:r w:rsidRPr="00B61C9B">
              <w:rPr>
                <w:sz w:val="28"/>
                <w:szCs w:val="28"/>
              </w:rPr>
              <w:t>Громадяни</w:t>
            </w:r>
          </w:p>
        </w:tc>
      </w:tr>
      <w:tr w:rsidR="002018AF" w:rsidTr="00331B4A">
        <w:tc>
          <w:tcPr>
            <w:tcW w:w="3123" w:type="dxa"/>
          </w:tcPr>
          <w:p w:rsidR="002018AF" w:rsidRPr="000370D3" w:rsidRDefault="002018AF" w:rsidP="002018AF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870" w:type="dxa"/>
          </w:tcPr>
          <w:p w:rsidR="002018AF" w:rsidRPr="000370D3" w:rsidRDefault="002018AF" w:rsidP="002018AF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0370D3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649" w:type="dxa"/>
          </w:tcPr>
          <w:p w:rsidR="002018AF" w:rsidRDefault="002018AF" w:rsidP="002018AF">
            <w:pPr>
              <w:pStyle w:val="10"/>
              <w:jc w:val="both"/>
            </w:pPr>
            <w:r w:rsidRPr="00B61C9B">
              <w:rPr>
                <w:sz w:val="28"/>
                <w:szCs w:val="28"/>
              </w:rPr>
              <w:t>Держава</w:t>
            </w:r>
          </w:p>
        </w:tc>
      </w:tr>
      <w:tr w:rsidR="002018AF" w:rsidTr="00331B4A">
        <w:trPr>
          <w:trHeight w:val="260"/>
        </w:trPr>
        <w:tc>
          <w:tcPr>
            <w:tcW w:w="3123" w:type="dxa"/>
          </w:tcPr>
          <w:p w:rsidR="002018AF" w:rsidRPr="000370D3" w:rsidRDefault="002018AF" w:rsidP="002018AF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870" w:type="dxa"/>
          </w:tcPr>
          <w:p w:rsidR="002018AF" w:rsidRPr="000370D3" w:rsidRDefault="002018AF" w:rsidP="002018AF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0370D3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649" w:type="dxa"/>
          </w:tcPr>
          <w:p w:rsidR="002018AF" w:rsidRDefault="002018AF" w:rsidP="002018AF">
            <w:pPr>
              <w:pStyle w:val="10"/>
              <w:jc w:val="both"/>
            </w:pPr>
            <w:r w:rsidRPr="00B61C9B">
              <w:rPr>
                <w:sz w:val="28"/>
                <w:szCs w:val="28"/>
              </w:rPr>
              <w:t>Суб’єкти господарювання</w:t>
            </w:r>
          </w:p>
        </w:tc>
      </w:tr>
      <w:tr w:rsidR="002018AF" w:rsidRPr="00024E2E" w:rsidTr="00331B4A">
        <w:tc>
          <w:tcPr>
            <w:tcW w:w="3123" w:type="dxa"/>
          </w:tcPr>
          <w:p w:rsidR="002018AF" w:rsidRPr="00F037F5" w:rsidRDefault="004270F2" w:rsidP="002018A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0" w:type="dxa"/>
          </w:tcPr>
          <w:p w:rsidR="002018AF" w:rsidRPr="000370D3" w:rsidRDefault="004270F2" w:rsidP="002018AF">
            <w:pPr>
              <w:pStyle w:val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3649" w:type="dxa"/>
          </w:tcPr>
          <w:p w:rsidR="002018AF" w:rsidRPr="00112C0D" w:rsidRDefault="002018AF" w:rsidP="002018AF">
            <w:pPr>
              <w:pStyle w:val="10"/>
              <w:jc w:val="both"/>
              <w:rPr>
                <w:lang w:val="ru-RU"/>
              </w:rPr>
            </w:pPr>
            <w:r w:rsidRPr="00112C0D">
              <w:rPr>
                <w:sz w:val="28"/>
                <w:szCs w:val="28"/>
                <w:lang w:val="ru-RU"/>
              </w:rPr>
              <w:t>У тому числі суб’єкти малого підприємництва</w:t>
            </w:r>
          </w:p>
        </w:tc>
      </w:tr>
    </w:tbl>
    <w:p w:rsidR="00F410E4" w:rsidRPr="000370D3" w:rsidRDefault="00F410E4" w:rsidP="00331B4A">
      <w:pPr>
        <w:pStyle w:val="10"/>
        <w:ind w:left="720"/>
        <w:jc w:val="center"/>
        <w:rPr>
          <w:lang w:val="ru-RU"/>
        </w:rPr>
      </w:pPr>
    </w:p>
    <w:p w:rsidR="00F410E4" w:rsidRDefault="00F410E4" w:rsidP="007F1A82">
      <w:pPr>
        <w:pStyle w:val="10"/>
        <w:ind w:left="720"/>
        <w:jc w:val="center"/>
        <w:rPr>
          <w:b/>
          <w:sz w:val="28"/>
          <w:szCs w:val="28"/>
          <w:lang w:val="ru-RU"/>
        </w:rPr>
      </w:pPr>
      <w:r w:rsidRPr="002018AF">
        <w:rPr>
          <w:b/>
          <w:sz w:val="28"/>
          <w:szCs w:val="28"/>
          <w:lang w:val="ru-RU"/>
        </w:rPr>
        <w:t>ІІ. Цілі державного регулювання</w:t>
      </w:r>
    </w:p>
    <w:p w:rsidR="00D75D0C" w:rsidRPr="007F1A82" w:rsidRDefault="00D75D0C" w:rsidP="007F1A82">
      <w:pPr>
        <w:pStyle w:val="10"/>
        <w:ind w:left="720"/>
        <w:jc w:val="center"/>
        <w:rPr>
          <w:lang w:val="ru-RU"/>
        </w:rPr>
      </w:pPr>
    </w:p>
    <w:p w:rsidR="00C80229" w:rsidRPr="00C80229" w:rsidRDefault="00F410E4" w:rsidP="00C80229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2F250E">
        <w:rPr>
          <w:sz w:val="28"/>
          <w:szCs w:val="28"/>
          <w:lang w:val="ru-RU"/>
        </w:rPr>
        <w:t>Основною</w:t>
      </w:r>
      <w:r w:rsidRPr="002018AF">
        <w:rPr>
          <w:sz w:val="28"/>
          <w:szCs w:val="28"/>
          <w:lang w:val="ru-RU"/>
        </w:rPr>
        <w:t xml:space="preserve"> </w:t>
      </w:r>
      <w:r w:rsidRPr="002F250E">
        <w:rPr>
          <w:sz w:val="28"/>
          <w:szCs w:val="28"/>
          <w:lang w:val="ru-RU"/>
        </w:rPr>
        <w:t>ціллю</w:t>
      </w:r>
      <w:r w:rsidRPr="002018AF">
        <w:rPr>
          <w:sz w:val="28"/>
          <w:szCs w:val="28"/>
          <w:lang w:val="ru-RU"/>
        </w:rPr>
        <w:t xml:space="preserve"> </w:t>
      </w:r>
      <w:r w:rsidRPr="002F250E">
        <w:rPr>
          <w:sz w:val="28"/>
          <w:szCs w:val="28"/>
          <w:lang w:val="ru-RU"/>
        </w:rPr>
        <w:t>державного</w:t>
      </w:r>
      <w:r w:rsidRPr="002018AF">
        <w:rPr>
          <w:sz w:val="28"/>
          <w:szCs w:val="28"/>
          <w:lang w:val="ru-RU"/>
        </w:rPr>
        <w:t xml:space="preserve"> </w:t>
      </w:r>
      <w:r w:rsidRPr="002F250E">
        <w:rPr>
          <w:sz w:val="28"/>
          <w:szCs w:val="28"/>
          <w:lang w:val="ru-RU"/>
        </w:rPr>
        <w:t>регулювання</w:t>
      </w:r>
      <w:r w:rsidRPr="002018AF">
        <w:rPr>
          <w:sz w:val="28"/>
          <w:szCs w:val="28"/>
          <w:lang w:val="ru-RU"/>
        </w:rPr>
        <w:t xml:space="preserve"> </w:t>
      </w:r>
      <w:r w:rsidR="003B2DE0" w:rsidRPr="002F250E">
        <w:rPr>
          <w:sz w:val="28"/>
          <w:szCs w:val="28"/>
          <w:lang w:val="uk-UA"/>
        </w:rPr>
        <w:t xml:space="preserve">є </w:t>
      </w:r>
      <w:r w:rsidR="00C80229">
        <w:rPr>
          <w:sz w:val="28"/>
          <w:szCs w:val="28"/>
          <w:lang w:val="ru-RU" w:eastAsia="ru-RU"/>
        </w:rPr>
        <w:t>встанов</w:t>
      </w:r>
      <w:r w:rsidR="00AA4610">
        <w:rPr>
          <w:sz w:val="28"/>
          <w:szCs w:val="28"/>
          <w:lang w:val="ru-RU" w:eastAsia="ru-RU"/>
        </w:rPr>
        <w:t>лення</w:t>
      </w:r>
      <w:r w:rsidR="00C80229" w:rsidRPr="00C80229">
        <w:rPr>
          <w:sz w:val="28"/>
          <w:szCs w:val="28"/>
          <w:lang w:val="ru-RU" w:eastAsia="ru-RU"/>
        </w:rPr>
        <w:t xml:space="preserve"> </w:t>
      </w:r>
      <w:r w:rsidR="00C80229">
        <w:rPr>
          <w:sz w:val="28"/>
          <w:szCs w:val="28"/>
          <w:lang w:val="ru-RU" w:eastAsia="ru-RU"/>
        </w:rPr>
        <w:t>п</w:t>
      </w:r>
      <w:r w:rsidR="00AA4610">
        <w:rPr>
          <w:sz w:val="28"/>
          <w:szCs w:val="28"/>
          <w:lang w:val="ru-RU"/>
        </w:rPr>
        <w:t>оряд</w:t>
      </w:r>
      <w:r w:rsidR="00C80229" w:rsidRPr="00C80229">
        <w:rPr>
          <w:sz w:val="28"/>
          <w:szCs w:val="28"/>
          <w:lang w:val="ru-RU"/>
        </w:rPr>
        <w:t>к</w:t>
      </w:r>
      <w:r w:rsidR="00AA4610">
        <w:rPr>
          <w:sz w:val="28"/>
          <w:szCs w:val="28"/>
          <w:lang w:val="ru-RU"/>
        </w:rPr>
        <w:t>у</w:t>
      </w:r>
      <w:r w:rsidR="00C80229" w:rsidRPr="00C80229">
        <w:rPr>
          <w:sz w:val="28"/>
          <w:szCs w:val="28"/>
          <w:lang w:val="ru-RU"/>
        </w:rPr>
        <w:t xml:space="preserve"> внесення змін до реєстраційних посвідчень</w:t>
      </w:r>
      <w:r w:rsidR="00C80229">
        <w:rPr>
          <w:sz w:val="28"/>
          <w:szCs w:val="28"/>
          <w:lang w:val="ru-RU"/>
        </w:rPr>
        <w:t>, виданих відповідно до Закону України «Про ветеринарну медицину»</w:t>
      </w:r>
      <w:r w:rsidR="00C80229" w:rsidRPr="00C80229">
        <w:rPr>
          <w:sz w:val="28"/>
          <w:szCs w:val="28"/>
          <w:lang w:val="ru-RU"/>
        </w:rPr>
        <w:t>.</w:t>
      </w:r>
    </w:p>
    <w:p w:rsidR="00F410E4" w:rsidRPr="002018AF" w:rsidRDefault="00F410E4" w:rsidP="00C80229">
      <w:pPr>
        <w:pStyle w:val="10"/>
        <w:ind w:firstLine="720"/>
        <w:jc w:val="both"/>
        <w:rPr>
          <w:lang w:val="ru-RU"/>
        </w:rPr>
      </w:pPr>
    </w:p>
    <w:p w:rsidR="00F410E4" w:rsidRDefault="00F410E4" w:rsidP="00331B4A">
      <w:pPr>
        <w:pStyle w:val="10"/>
        <w:ind w:left="450" w:hanging="306"/>
        <w:jc w:val="center"/>
        <w:rPr>
          <w:b/>
          <w:sz w:val="28"/>
          <w:szCs w:val="28"/>
          <w:lang w:val="ru-RU"/>
        </w:rPr>
      </w:pPr>
      <w:r w:rsidRPr="00112C0D">
        <w:rPr>
          <w:b/>
          <w:sz w:val="28"/>
          <w:szCs w:val="28"/>
          <w:highlight w:val="white"/>
          <w:lang w:val="ru-RU"/>
        </w:rPr>
        <w:t>ІІІ. Визначення та оцінка альтернативних способів досягнення цілей</w:t>
      </w:r>
    </w:p>
    <w:p w:rsidR="00D75D0C" w:rsidRPr="00112C0D" w:rsidRDefault="00D75D0C" w:rsidP="00331B4A">
      <w:pPr>
        <w:pStyle w:val="10"/>
        <w:ind w:left="450" w:hanging="306"/>
        <w:jc w:val="center"/>
        <w:rPr>
          <w:lang w:val="ru-RU"/>
        </w:rPr>
      </w:pPr>
    </w:p>
    <w:p w:rsidR="004A0684" w:rsidRPr="007F1A82" w:rsidRDefault="002018AF" w:rsidP="007F1A82">
      <w:pPr>
        <w:pStyle w:val="10"/>
        <w:tabs>
          <w:tab w:val="left" w:pos="954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Альтернативні способ</w:t>
      </w:r>
      <w:r w:rsidR="004A0684" w:rsidRPr="004A068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розроблені за результатами </w:t>
      </w:r>
      <w:r>
        <w:rPr>
          <w:sz w:val="28"/>
          <w:szCs w:val="28"/>
          <w:lang w:val="uk-UA" w:eastAsia="ru-RU"/>
        </w:rPr>
        <w:t>3</w:t>
      </w:r>
      <w:r w:rsidRPr="00634C48">
        <w:rPr>
          <w:sz w:val="28"/>
          <w:szCs w:val="28"/>
          <w:lang w:val="uk-UA" w:eastAsia="ru-RU"/>
        </w:rPr>
        <w:t xml:space="preserve"> </w:t>
      </w:r>
      <w:r w:rsidR="00C80229">
        <w:rPr>
          <w:sz w:val="28"/>
          <w:szCs w:val="28"/>
          <w:lang w:val="uk-UA" w:eastAsia="ru-RU"/>
        </w:rPr>
        <w:t>інтернет-консультацій</w:t>
      </w:r>
      <w:r w:rsidRPr="00634C48">
        <w:rPr>
          <w:sz w:val="28"/>
          <w:szCs w:val="28"/>
          <w:lang w:val="uk-UA" w:eastAsia="ru-RU"/>
        </w:rPr>
        <w:t xml:space="preserve"> за участю представників Держпродспоживслужби, Мі</w:t>
      </w:r>
      <w:r w:rsidR="00684A79">
        <w:rPr>
          <w:sz w:val="28"/>
          <w:szCs w:val="28"/>
          <w:lang w:val="uk-UA" w:eastAsia="ru-RU"/>
        </w:rPr>
        <w:t>н</w:t>
      </w:r>
      <w:r w:rsidR="00E65D89">
        <w:rPr>
          <w:sz w:val="28"/>
          <w:szCs w:val="28"/>
          <w:lang w:val="uk-UA" w:eastAsia="ru-RU"/>
        </w:rPr>
        <w:t>економіки</w:t>
      </w:r>
      <w:r w:rsidRPr="00634C48">
        <w:rPr>
          <w:sz w:val="28"/>
          <w:szCs w:val="28"/>
          <w:lang w:val="uk-UA" w:eastAsia="ru-RU"/>
        </w:rPr>
        <w:t>, виробників та експертів</w:t>
      </w:r>
      <w:r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ru-RU"/>
        </w:rPr>
        <w:t xml:space="preserve"> Альтернатив</w:t>
      </w:r>
      <w:r w:rsidR="003F6F62">
        <w:rPr>
          <w:sz w:val="28"/>
          <w:szCs w:val="28"/>
          <w:lang w:val="ru-RU"/>
        </w:rPr>
        <w:t>ними</w:t>
      </w:r>
      <w:r>
        <w:rPr>
          <w:sz w:val="28"/>
          <w:szCs w:val="28"/>
          <w:lang w:val="ru-RU"/>
        </w:rPr>
        <w:t xml:space="preserve"> способами</w:t>
      </w:r>
      <w:r w:rsidRPr="004A0684">
        <w:rPr>
          <w:sz w:val="28"/>
          <w:szCs w:val="28"/>
          <w:lang w:val="ru-RU"/>
        </w:rPr>
        <w:t xml:space="preserve"> </w:t>
      </w:r>
      <w:r w:rsidR="004A0684" w:rsidRPr="004A0684">
        <w:rPr>
          <w:sz w:val="28"/>
          <w:szCs w:val="28"/>
          <w:lang w:val="ru-RU"/>
        </w:rPr>
        <w:t xml:space="preserve">досягнення </w:t>
      </w:r>
      <w:r w:rsidR="001E709C">
        <w:rPr>
          <w:sz w:val="28"/>
          <w:szCs w:val="28"/>
          <w:lang w:val="ru-RU"/>
        </w:rPr>
        <w:t>цілі</w:t>
      </w:r>
      <w:r w:rsidR="004A0684" w:rsidRPr="004A0684">
        <w:rPr>
          <w:sz w:val="28"/>
          <w:szCs w:val="28"/>
          <w:lang w:val="ru-RU"/>
        </w:rPr>
        <w:t xml:space="preserve"> є</w:t>
      </w:r>
      <w:bookmarkStart w:id="1" w:name="_GoBack"/>
      <w:bookmarkEnd w:id="1"/>
      <w:r w:rsidR="004A0684" w:rsidRPr="004A0684">
        <w:rPr>
          <w:sz w:val="28"/>
          <w:szCs w:val="28"/>
          <w:lang w:val="ru-RU"/>
        </w:rPr>
        <w:t>:</w:t>
      </w:r>
    </w:p>
    <w:p w:rsidR="004A0684" w:rsidRPr="007F1A82" w:rsidRDefault="004A0684" w:rsidP="007F1A82">
      <w:pPr>
        <w:pStyle w:val="10"/>
        <w:tabs>
          <w:tab w:val="left" w:pos="9540"/>
        </w:tabs>
        <w:ind w:firstLine="720"/>
        <w:jc w:val="both"/>
        <w:rPr>
          <w:sz w:val="28"/>
          <w:szCs w:val="28"/>
          <w:lang w:val="ru-RU"/>
        </w:rPr>
      </w:pPr>
      <w:r w:rsidRPr="004A0684">
        <w:rPr>
          <w:sz w:val="28"/>
          <w:szCs w:val="28"/>
          <w:lang w:val="ru-RU"/>
        </w:rPr>
        <w:t xml:space="preserve">1. Застосування вимог ЄС без </w:t>
      </w:r>
      <w:r w:rsidR="001E709C">
        <w:rPr>
          <w:sz w:val="28"/>
          <w:szCs w:val="28"/>
          <w:lang w:val="ru-RU"/>
        </w:rPr>
        <w:t>визначення їх в національному законодавстві</w:t>
      </w:r>
      <w:r>
        <w:rPr>
          <w:sz w:val="28"/>
          <w:szCs w:val="28"/>
          <w:lang w:val="ru-RU"/>
        </w:rPr>
        <w:t>.</w:t>
      </w:r>
    </w:p>
    <w:p w:rsidR="00F410E4" w:rsidRDefault="00DD561B" w:rsidP="00331B4A">
      <w:pPr>
        <w:pStyle w:val="10"/>
        <w:tabs>
          <w:tab w:val="left" w:pos="954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Прийняття пропонованого проє</w:t>
      </w:r>
      <w:r w:rsidR="004A0684" w:rsidRPr="004A0684">
        <w:rPr>
          <w:sz w:val="28"/>
          <w:szCs w:val="28"/>
          <w:lang w:val="ru-RU"/>
        </w:rPr>
        <w:t>кту наказу Мін</w:t>
      </w:r>
      <w:r w:rsidR="00E65D89">
        <w:rPr>
          <w:sz w:val="28"/>
          <w:szCs w:val="28"/>
          <w:lang w:val="ru-RU"/>
        </w:rPr>
        <w:t>економі</w:t>
      </w:r>
      <w:r w:rsidR="004A0684" w:rsidRPr="004A0684">
        <w:rPr>
          <w:sz w:val="28"/>
          <w:szCs w:val="28"/>
          <w:lang w:val="ru-RU"/>
        </w:rPr>
        <w:t>ки.</w:t>
      </w:r>
    </w:p>
    <w:p w:rsidR="004A0684" w:rsidRPr="00013ACE" w:rsidRDefault="004A0684" w:rsidP="00331B4A">
      <w:pPr>
        <w:pStyle w:val="10"/>
        <w:tabs>
          <w:tab w:val="left" w:pos="9540"/>
        </w:tabs>
        <w:ind w:firstLine="720"/>
        <w:jc w:val="both"/>
        <w:rPr>
          <w:lang w:val="ru-RU"/>
        </w:rPr>
      </w:pPr>
    </w:p>
    <w:p w:rsidR="00F410E4" w:rsidRPr="007F1A82" w:rsidRDefault="00F410E4" w:rsidP="007F1A82">
      <w:pPr>
        <w:pStyle w:val="10"/>
        <w:numPr>
          <w:ilvl w:val="0"/>
          <w:numId w:val="1"/>
        </w:numPr>
        <w:ind w:hanging="360"/>
        <w:contextualSpacing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Визначення альтернативних способів</w:t>
      </w:r>
    </w:p>
    <w:tbl>
      <w:tblPr>
        <w:bidiVisual/>
        <w:tblW w:w="9318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22"/>
        <w:gridCol w:w="5696"/>
      </w:tblGrid>
      <w:tr w:rsidR="00F410E4" w:rsidTr="008569C3">
        <w:tc>
          <w:tcPr>
            <w:tcW w:w="3622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0E4" w:rsidRDefault="008B05C1" w:rsidP="00331B4A">
            <w:pPr>
              <w:pStyle w:val="10"/>
              <w:ind w:left="-6" w:firstLine="29"/>
              <w:jc w:val="center"/>
            </w:pPr>
            <w:r>
              <w:rPr>
                <w:sz w:val="28"/>
                <w:szCs w:val="28"/>
                <w:highlight w:val="white"/>
              </w:rPr>
              <w:t>Опис</w:t>
            </w:r>
            <w:r w:rsidR="00F410E4" w:rsidRPr="00B61C9B">
              <w:rPr>
                <w:sz w:val="28"/>
                <w:szCs w:val="28"/>
                <w:highlight w:val="white"/>
              </w:rPr>
              <w:t xml:space="preserve"> альтернативи</w:t>
            </w:r>
          </w:p>
        </w:tc>
        <w:tc>
          <w:tcPr>
            <w:tcW w:w="5696" w:type="dxa"/>
          </w:tcPr>
          <w:p w:rsidR="00F410E4" w:rsidRDefault="008B05C1" w:rsidP="00331B4A">
            <w:pPr>
              <w:pStyle w:val="10"/>
              <w:ind w:left="158" w:hanging="135"/>
              <w:jc w:val="center"/>
            </w:pPr>
            <w:r>
              <w:rPr>
                <w:sz w:val="28"/>
                <w:szCs w:val="28"/>
                <w:highlight w:val="white"/>
              </w:rPr>
              <w:t>Вид</w:t>
            </w:r>
            <w:r w:rsidR="00F410E4" w:rsidRPr="00B61C9B">
              <w:rPr>
                <w:sz w:val="28"/>
                <w:szCs w:val="28"/>
                <w:highlight w:val="white"/>
              </w:rPr>
              <w:t xml:space="preserve"> альтернативи</w:t>
            </w:r>
          </w:p>
        </w:tc>
      </w:tr>
      <w:tr w:rsidR="00F410E4" w:rsidRPr="00504D89" w:rsidTr="008569C3">
        <w:tc>
          <w:tcPr>
            <w:tcW w:w="36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E4" w:rsidRDefault="008B05C1" w:rsidP="00331B4A">
            <w:pPr>
              <w:pStyle w:val="10"/>
              <w:tabs>
                <w:tab w:val="left" w:pos="9540"/>
              </w:tabs>
            </w:pPr>
            <w:r>
              <w:rPr>
                <w:sz w:val="28"/>
                <w:szCs w:val="28"/>
                <w:highlight w:val="white"/>
                <w:lang w:val="ru-RU"/>
              </w:rPr>
              <w:t>Залишення без змін</w:t>
            </w:r>
          </w:p>
        </w:tc>
        <w:tc>
          <w:tcPr>
            <w:tcW w:w="5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0E4" w:rsidRPr="00112C0D" w:rsidRDefault="008B05C1" w:rsidP="008B05C1">
            <w:pPr>
              <w:pStyle w:val="10"/>
              <w:tabs>
                <w:tab w:val="left" w:pos="9540"/>
              </w:tabs>
              <w:ind w:left="143"/>
              <w:jc w:val="both"/>
              <w:rPr>
                <w:lang w:val="ru-RU"/>
              </w:rPr>
            </w:pPr>
            <w:r w:rsidRPr="00B61C9B">
              <w:rPr>
                <w:sz w:val="28"/>
                <w:szCs w:val="28"/>
                <w:highlight w:val="white"/>
              </w:rPr>
              <w:t>Альтернатива 1</w:t>
            </w:r>
            <w:r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</w:p>
        </w:tc>
      </w:tr>
      <w:tr w:rsidR="00F410E4" w:rsidRPr="000370D3" w:rsidTr="008569C3">
        <w:tc>
          <w:tcPr>
            <w:tcW w:w="36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E4" w:rsidRPr="008B05C1" w:rsidRDefault="008B05C1" w:rsidP="00331B4A">
            <w:pPr>
              <w:pStyle w:val="10"/>
              <w:tabs>
                <w:tab w:val="left" w:pos="9540"/>
              </w:tabs>
              <w:jc w:val="both"/>
              <w:rPr>
                <w:lang w:val="ru-RU"/>
              </w:rPr>
            </w:pPr>
            <w:r w:rsidRPr="004A0684">
              <w:rPr>
                <w:sz w:val="28"/>
                <w:szCs w:val="28"/>
                <w:highlight w:val="white"/>
                <w:lang w:val="ru-RU"/>
              </w:rPr>
              <w:t xml:space="preserve">Прийняття </w:t>
            </w:r>
            <w:r>
              <w:rPr>
                <w:sz w:val="28"/>
                <w:szCs w:val="28"/>
                <w:highlight w:val="white"/>
                <w:lang w:val="uk-UA"/>
              </w:rPr>
              <w:t>за</w:t>
            </w:r>
            <w:r w:rsidR="00C80229">
              <w:rPr>
                <w:sz w:val="28"/>
                <w:szCs w:val="28"/>
                <w:highlight w:val="white"/>
                <w:lang w:val="ru-RU"/>
              </w:rPr>
              <w:t>пропонованого проє</w:t>
            </w:r>
            <w:r w:rsidRPr="004A0684">
              <w:rPr>
                <w:sz w:val="28"/>
                <w:szCs w:val="28"/>
                <w:highlight w:val="white"/>
                <w:lang w:val="ru-RU"/>
              </w:rPr>
              <w:t>кту наказу</w:t>
            </w:r>
            <w:r w:rsidR="00C80229">
              <w:rPr>
                <w:sz w:val="28"/>
                <w:szCs w:val="28"/>
                <w:lang w:val="uk-UA"/>
              </w:rPr>
              <w:t xml:space="preserve"> Мінекономіки</w:t>
            </w:r>
          </w:p>
        </w:tc>
        <w:tc>
          <w:tcPr>
            <w:tcW w:w="569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0E4" w:rsidRPr="004A0684" w:rsidRDefault="008B05C1" w:rsidP="008B05C1">
            <w:pPr>
              <w:pStyle w:val="10"/>
              <w:ind w:left="165" w:firstLine="45"/>
              <w:rPr>
                <w:lang w:val="uk-UA"/>
              </w:rPr>
            </w:pPr>
            <w:r w:rsidRPr="008B05C1">
              <w:rPr>
                <w:sz w:val="28"/>
                <w:szCs w:val="28"/>
                <w:highlight w:val="white"/>
                <w:lang w:val="ru-RU"/>
              </w:rPr>
              <w:t>Альтернатива 2</w:t>
            </w:r>
            <w:r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</w:p>
        </w:tc>
      </w:tr>
    </w:tbl>
    <w:p w:rsidR="008147B4" w:rsidRPr="004A0684" w:rsidRDefault="008147B4" w:rsidP="00331B4A">
      <w:pPr>
        <w:pStyle w:val="10"/>
        <w:ind w:left="-6"/>
        <w:jc w:val="both"/>
        <w:rPr>
          <w:lang w:val="ru-RU"/>
        </w:rPr>
      </w:pPr>
    </w:p>
    <w:p w:rsidR="00F410E4" w:rsidRPr="00112C0D" w:rsidRDefault="00F410E4" w:rsidP="00331B4A">
      <w:pPr>
        <w:pStyle w:val="10"/>
        <w:jc w:val="center"/>
        <w:rPr>
          <w:lang w:val="ru-RU"/>
        </w:rPr>
      </w:pPr>
      <w:r w:rsidRPr="00112C0D">
        <w:rPr>
          <w:b/>
          <w:sz w:val="28"/>
          <w:szCs w:val="28"/>
          <w:highlight w:val="white"/>
          <w:lang w:val="ru-RU"/>
        </w:rPr>
        <w:lastRenderedPageBreak/>
        <w:t>2. Оцінка вибраних альтернативних способів досягнення цілей</w:t>
      </w:r>
    </w:p>
    <w:p w:rsidR="00F410E4" w:rsidRPr="00112C0D" w:rsidRDefault="00F410E4" w:rsidP="00331B4A">
      <w:pPr>
        <w:pStyle w:val="10"/>
        <w:ind w:left="-6"/>
        <w:jc w:val="both"/>
        <w:rPr>
          <w:lang w:val="ru-RU"/>
        </w:rPr>
      </w:pPr>
    </w:p>
    <w:p w:rsidR="00F410E4" w:rsidRPr="00112C0D" w:rsidRDefault="00F410E4" w:rsidP="00331B4A">
      <w:pPr>
        <w:pStyle w:val="10"/>
        <w:ind w:left="-6" w:firstLine="576"/>
        <w:jc w:val="center"/>
        <w:rPr>
          <w:lang w:val="ru-RU"/>
        </w:rPr>
      </w:pPr>
      <w:r w:rsidRPr="00112C0D">
        <w:rPr>
          <w:b/>
          <w:i/>
          <w:sz w:val="28"/>
          <w:szCs w:val="28"/>
          <w:highlight w:val="white"/>
          <w:lang w:val="ru-RU"/>
        </w:rPr>
        <w:t>Оцінка впливу на сферу інтересів держави</w:t>
      </w:r>
    </w:p>
    <w:p w:rsidR="00F410E4" w:rsidRPr="00112C0D" w:rsidRDefault="00F410E4" w:rsidP="00331B4A">
      <w:pPr>
        <w:pStyle w:val="10"/>
        <w:ind w:left="-6" w:firstLine="871"/>
        <w:jc w:val="both"/>
        <w:rPr>
          <w:lang w:val="ru-RU"/>
        </w:rPr>
      </w:pPr>
    </w:p>
    <w:tbl>
      <w:tblPr>
        <w:tblW w:w="9356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460"/>
        <w:gridCol w:w="3540"/>
        <w:gridCol w:w="3356"/>
      </w:tblGrid>
      <w:tr w:rsidR="004A0684" w:rsidRPr="00043622" w:rsidTr="008569C3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043622" w:rsidRDefault="004A0684" w:rsidP="00331B4A">
            <w:pPr>
              <w:ind w:left="-6" w:firstLine="96"/>
              <w:jc w:val="center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Вид альтернативи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043622" w:rsidRDefault="004A0684" w:rsidP="00331B4A">
            <w:pPr>
              <w:ind w:left="-6" w:firstLine="96"/>
              <w:jc w:val="center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Вигоди</w:t>
            </w:r>
          </w:p>
        </w:tc>
        <w:tc>
          <w:tcPr>
            <w:tcW w:w="335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043622" w:rsidRDefault="004A0684" w:rsidP="00331B4A">
            <w:pPr>
              <w:ind w:left="-6" w:firstLine="96"/>
              <w:jc w:val="center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Витрати</w:t>
            </w:r>
          </w:p>
        </w:tc>
      </w:tr>
      <w:tr w:rsidR="004A0684" w:rsidRPr="00024E2E" w:rsidTr="008569C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043622" w:rsidRDefault="004A068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05C1" w:rsidRDefault="008B05C1" w:rsidP="003C1F7E">
            <w:pPr>
              <w:ind w:left="173"/>
              <w:jc w:val="center"/>
              <w:rPr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highlight w:val="white"/>
                <w:lang w:val="uk-UA"/>
              </w:rPr>
              <w:t>Відсутні</w:t>
            </w:r>
          </w:p>
          <w:p w:rsidR="00DB4AAB" w:rsidRDefault="00DB4AAB" w:rsidP="00331B4A">
            <w:pPr>
              <w:ind w:left="173"/>
              <w:jc w:val="both"/>
              <w:rPr>
                <w:sz w:val="28"/>
                <w:szCs w:val="28"/>
                <w:highlight w:val="white"/>
                <w:lang w:val="uk-UA"/>
              </w:rPr>
            </w:pPr>
          </w:p>
          <w:p w:rsidR="004A0684" w:rsidRPr="00043622" w:rsidRDefault="004A0684" w:rsidP="003C1F7E">
            <w:pPr>
              <w:ind w:left="173"/>
              <w:jc w:val="both"/>
              <w:rPr>
                <w:lang w:val="uk-UA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043622" w:rsidRDefault="00290C13" w:rsidP="00AA4610">
            <w:pPr>
              <w:ind w:left="141" w:right="3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Збитки пов’язані із відсутністю правового регулювання у сфері державної реєстрації кормів, що призведе до зниженн</w:t>
            </w:r>
            <w:r w:rsidR="00AA4610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кільк</w:t>
            </w:r>
            <w:r w:rsidR="007B1200">
              <w:rPr>
                <w:sz w:val="28"/>
                <w:szCs w:val="28"/>
                <w:lang w:val="uk-UA"/>
              </w:rPr>
              <w:t xml:space="preserve">ості якісних кормів на ринку, </w:t>
            </w:r>
            <w:r>
              <w:rPr>
                <w:sz w:val="28"/>
                <w:szCs w:val="28"/>
                <w:lang w:val="uk-UA"/>
              </w:rPr>
              <w:t>зменшенню кількості суб</w:t>
            </w:r>
            <w:r w:rsidR="007B1200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</w:t>
            </w:r>
            <w:r w:rsidR="007B1200">
              <w:rPr>
                <w:sz w:val="28"/>
                <w:szCs w:val="28"/>
                <w:lang w:val="uk-UA"/>
              </w:rPr>
              <w:t>ктів господарювання у цій сфері.</w:t>
            </w:r>
          </w:p>
        </w:tc>
      </w:tr>
      <w:tr w:rsidR="004A0684" w:rsidRPr="00024E2E" w:rsidTr="008569C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4" w:rsidRPr="00043622" w:rsidRDefault="004A0684" w:rsidP="00331B4A">
            <w:pPr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0684" w:rsidRPr="00043622" w:rsidRDefault="00290C13" w:rsidP="00402935">
            <w:pPr>
              <w:tabs>
                <w:tab w:val="left" w:pos="9540"/>
              </w:tabs>
              <w:ind w:left="68" w:right="16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</w:t>
            </w:r>
            <w:r w:rsidR="00402935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єкти господарювання можуть працювати у правовому полі. Запровадження правового регулювання у сфері державної реєстрації кормів призведе до збільшення кількості якісних кормів на ринку та збільшення кількості субєктів господарювання у цій сфері.</w:t>
            </w:r>
          </w:p>
          <w:p w:rsidR="004A0684" w:rsidRPr="00043622" w:rsidRDefault="004A068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84" w:rsidRPr="00043622" w:rsidRDefault="004A0684" w:rsidP="00D2627B">
            <w:pPr>
              <w:ind w:right="38"/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 xml:space="preserve">Певне збільшення витрат на </w:t>
            </w:r>
            <w:r w:rsidR="004270F2">
              <w:rPr>
                <w:sz w:val="28"/>
                <w:szCs w:val="28"/>
                <w:highlight w:val="white"/>
                <w:lang w:val="uk-UA"/>
              </w:rPr>
              <w:t>документальне забезпечення процесу (листування з операторами ринку, ведення обліку реєстраційних посвідчень термін дії яких продовжено).</w:t>
            </w:r>
          </w:p>
        </w:tc>
      </w:tr>
    </w:tbl>
    <w:p w:rsidR="00F410E4" w:rsidRPr="004A0684" w:rsidRDefault="00F410E4" w:rsidP="00331B4A">
      <w:pPr>
        <w:pStyle w:val="10"/>
        <w:ind w:left="-6" w:firstLine="871"/>
        <w:jc w:val="center"/>
        <w:rPr>
          <w:lang w:val="uk-UA"/>
        </w:rPr>
      </w:pPr>
    </w:p>
    <w:p w:rsidR="00F410E4" w:rsidRPr="00112C0D" w:rsidRDefault="00F410E4" w:rsidP="00331B4A">
      <w:pPr>
        <w:pStyle w:val="10"/>
        <w:ind w:left="-6" w:firstLine="871"/>
        <w:rPr>
          <w:lang w:val="uk-UA"/>
        </w:rPr>
      </w:pPr>
    </w:p>
    <w:p w:rsidR="00414832" w:rsidRPr="00043622" w:rsidRDefault="00414832" w:rsidP="007F1A82">
      <w:pPr>
        <w:ind w:left="-6" w:firstLine="871"/>
        <w:jc w:val="both"/>
        <w:rPr>
          <w:lang w:val="uk-UA"/>
        </w:rPr>
      </w:pPr>
      <w:r w:rsidRPr="00043622">
        <w:rPr>
          <w:b/>
          <w:i/>
          <w:sz w:val="28"/>
          <w:szCs w:val="28"/>
          <w:highlight w:val="white"/>
          <w:lang w:val="uk-UA"/>
        </w:rPr>
        <w:t>Оцінка впливу на сферу інтересів суб’єктів господарювання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40"/>
        <w:gridCol w:w="1260"/>
        <w:gridCol w:w="930"/>
        <w:gridCol w:w="1080"/>
        <w:gridCol w:w="977"/>
      </w:tblGrid>
      <w:tr w:rsidR="00414832" w:rsidRPr="00043622" w:rsidTr="001D3881"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Показник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Великі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Середні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Малі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Мікро</w:t>
            </w:r>
          </w:p>
        </w:tc>
        <w:tc>
          <w:tcPr>
            <w:tcW w:w="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Разом</w:t>
            </w:r>
          </w:p>
        </w:tc>
      </w:tr>
      <w:tr w:rsidR="00414832" w:rsidRPr="00043622" w:rsidTr="001D3881"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13ACE" w:rsidRDefault="00013ACE" w:rsidP="00331B4A">
            <w:pPr>
              <w:ind w:left="-6" w:firstLine="26"/>
              <w:jc w:val="center"/>
              <w:rPr>
                <w:sz w:val="28"/>
                <w:szCs w:val="28"/>
                <w:lang w:val="uk-UA"/>
              </w:rPr>
            </w:pPr>
            <w:r w:rsidRPr="00013AC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4270F2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4270F2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4270F2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4270F2">
              <w:rPr>
                <w:sz w:val="28"/>
                <w:szCs w:val="28"/>
                <w:lang w:val="uk-UA"/>
              </w:rPr>
              <w:t>3690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4270F2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4270F2">
              <w:rPr>
                <w:sz w:val="28"/>
                <w:szCs w:val="28"/>
                <w:lang w:val="uk-UA"/>
              </w:rPr>
              <w:t>3613</w:t>
            </w:r>
          </w:p>
        </w:tc>
        <w:tc>
          <w:tcPr>
            <w:tcW w:w="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4270F2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4270F2">
              <w:rPr>
                <w:sz w:val="28"/>
                <w:szCs w:val="28"/>
                <w:lang w:val="uk-UA"/>
              </w:rPr>
              <w:t>7340</w:t>
            </w:r>
          </w:p>
        </w:tc>
      </w:tr>
      <w:tr w:rsidR="00414832" w:rsidRPr="00043622" w:rsidTr="001D3881"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Питома вага групи у загальній кількості ( у відсотках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13ACE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013AC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4270F2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4270F2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4270F2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4270F2">
              <w:rPr>
                <w:sz w:val="28"/>
                <w:szCs w:val="28"/>
                <w:lang w:val="uk-UA"/>
              </w:rPr>
              <w:t>50,27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4270F2" w:rsidRDefault="00013ACE" w:rsidP="00331B4A">
            <w:pPr>
              <w:ind w:left="-6" w:firstLine="26"/>
              <w:jc w:val="center"/>
              <w:rPr>
                <w:lang w:val="uk-UA"/>
              </w:rPr>
            </w:pPr>
            <w:r w:rsidRPr="004270F2">
              <w:rPr>
                <w:sz w:val="28"/>
                <w:szCs w:val="28"/>
                <w:lang w:val="uk-UA"/>
              </w:rPr>
              <w:t>49,22</w:t>
            </w:r>
          </w:p>
        </w:tc>
        <w:tc>
          <w:tcPr>
            <w:tcW w:w="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4270F2" w:rsidRDefault="00414832" w:rsidP="00331B4A">
            <w:pPr>
              <w:ind w:left="-6" w:firstLine="32"/>
              <w:jc w:val="center"/>
              <w:rPr>
                <w:lang w:val="uk-UA"/>
              </w:rPr>
            </w:pPr>
            <w:r w:rsidRPr="004270F2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414832" w:rsidRDefault="00414832" w:rsidP="00331B4A">
      <w:pPr>
        <w:ind w:left="-6" w:firstLine="871"/>
        <w:jc w:val="both"/>
        <w:rPr>
          <w:lang w:val="uk-UA"/>
        </w:rPr>
      </w:pPr>
    </w:p>
    <w:p w:rsidR="007B1200" w:rsidRDefault="007B1200" w:rsidP="00331B4A">
      <w:pPr>
        <w:ind w:left="-6" w:firstLine="871"/>
        <w:jc w:val="both"/>
        <w:rPr>
          <w:lang w:val="uk-UA"/>
        </w:rPr>
      </w:pPr>
    </w:p>
    <w:p w:rsidR="007B1200" w:rsidRPr="00043622" w:rsidRDefault="007B1200" w:rsidP="00331B4A">
      <w:pPr>
        <w:ind w:left="-6" w:firstLine="871"/>
        <w:jc w:val="both"/>
        <w:rPr>
          <w:lang w:val="uk-UA"/>
        </w:rPr>
      </w:pPr>
    </w:p>
    <w:tbl>
      <w:tblPr>
        <w:tblW w:w="935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3686"/>
      </w:tblGrid>
      <w:tr w:rsidR="00414832" w:rsidRPr="00043622" w:rsidTr="004270F2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lastRenderedPageBreak/>
              <w:t>Вид альтернативи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Вигоди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ind w:left="-6" w:firstLine="32"/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Витрати</w:t>
            </w:r>
          </w:p>
        </w:tc>
      </w:tr>
      <w:tr w:rsidR="00414832" w:rsidRPr="00024E2E" w:rsidTr="00F5708E">
        <w:tc>
          <w:tcPr>
            <w:tcW w:w="24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564" w:rsidRDefault="00692564" w:rsidP="00331B4A">
            <w:pPr>
              <w:ind w:left="-6"/>
              <w:rPr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highlight w:val="white"/>
                <w:lang w:val="uk-UA"/>
              </w:rPr>
              <w:t xml:space="preserve">Відсутні. </w:t>
            </w:r>
          </w:p>
          <w:p w:rsidR="00414832" w:rsidRPr="00043622" w:rsidRDefault="00414832" w:rsidP="00331B4A">
            <w:pPr>
              <w:ind w:left="-6"/>
              <w:rPr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9E0" w:rsidRPr="009C7F05" w:rsidRDefault="007B1200" w:rsidP="00AA4610">
            <w:pPr>
              <w:tabs>
                <w:tab w:val="left" w:pos="9540"/>
              </w:tabs>
              <w:ind w:left="124" w:right="122"/>
              <w:jc w:val="both"/>
              <w:rPr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Збитки пов’язані із відсутністю правового регулювання у сфері державної реєстрації кормів</w:t>
            </w:r>
            <w:r w:rsidR="009C7F05">
              <w:rPr>
                <w:sz w:val="28"/>
                <w:szCs w:val="28"/>
                <w:lang w:val="uk-UA"/>
              </w:rPr>
              <w:t>, що</w:t>
            </w:r>
            <w:r>
              <w:rPr>
                <w:sz w:val="28"/>
                <w:szCs w:val="28"/>
                <w:lang w:val="uk-UA"/>
              </w:rPr>
              <w:t xml:space="preserve"> призведе до значного зменшення обсягів ринку кормів, зменшенн</w:t>
            </w:r>
            <w:r w:rsidR="00AA4610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кількості суб’єктів господарювання у цій сфері через обмеження або припинення їх діяльності.</w:t>
            </w:r>
          </w:p>
        </w:tc>
      </w:tr>
      <w:tr w:rsidR="00414832" w:rsidRPr="00024E2E" w:rsidTr="00F570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2" w:rsidRPr="00043622" w:rsidRDefault="00414832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9C7F05" w:rsidRDefault="007B1200" w:rsidP="00290C13">
            <w:pPr>
              <w:tabs>
                <w:tab w:val="left" w:pos="9540"/>
              </w:tabs>
              <w:jc w:val="both"/>
              <w:rPr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highlight w:val="white"/>
                <w:lang w:val="uk-UA"/>
              </w:rPr>
              <w:t>Можливість продовження строку дії реєстраційних п</w:t>
            </w:r>
            <w:r w:rsidR="004A7B5A">
              <w:rPr>
                <w:sz w:val="28"/>
                <w:szCs w:val="28"/>
                <w:highlight w:val="white"/>
                <w:lang w:val="uk-UA"/>
              </w:rPr>
              <w:t>освідчень, виданий відповідно д</w:t>
            </w:r>
            <w:r>
              <w:rPr>
                <w:sz w:val="28"/>
                <w:szCs w:val="28"/>
                <w:highlight w:val="white"/>
                <w:lang w:val="uk-UA"/>
              </w:rPr>
              <w:t>о Закону України «Про ветерина</w:t>
            </w:r>
            <w:r w:rsidR="004A7B5A">
              <w:rPr>
                <w:sz w:val="28"/>
                <w:szCs w:val="28"/>
                <w:highlight w:val="white"/>
                <w:lang w:val="uk-UA"/>
              </w:rPr>
              <w:t>р</w:t>
            </w:r>
            <w:r>
              <w:rPr>
                <w:sz w:val="28"/>
                <w:szCs w:val="28"/>
                <w:highlight w:val="white"/>
                <w:lang w:val="uk-UA"/>
              </w:rPr>
              <w:t>ну медицину» та здійснення обігу кормів і кормових добавок суб’єктами господарювання (малому та мікробізнесу)</w:t>
            </w:r>
            <w:r>
              <w:rPr>
                <w:sz w:val="28"/>
                <w:szCs w:val="28"/>
                <w:lang w:val="uk-UA"/>
              </w:rPr>
              <w:t xml:space="preserve"> у правовому полі.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32" w:rsidRPr="00043622" w:rsidRDefault="00414832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 xml:space="preserve">Порівняно невеликі разові </w:t>
            </w:r>
            <w:r w:rsidR="00546D00">
              <w:rPr>
                <w:sz w:val="28"/>
                <w:szCs w:val="28"/>
                <w:highlight w:val="white"/>
                <w:lang w:val="uk-UA"/>
              </w:rPr>
              <w:t xml:space="preserve">адміністративні </w:t>
            </w:r>
            <w:r w:rsidRPr="00043622">
              <w:rPr>
                <w:sz w:val="28"/>
                <w:szCs w:val="28"/>
                <w:highlight w:val="white"/>
                <w:lang w:val="uk-UA"/>
              </w:rPr>
              <w:t>витрати на перегляд внутрішніх процедур</w:t>
            </w:r>
            <w:r w:rsidR="004270F2">
              <w:rPr>
                <w:sz w:val="28"/>
                <w:szCs w:val="28"/>
                <w:highlight w:val="white"/>
                <w:lang w:val="uk-UA"/>
              </w:rPr>
              <w:t xml:space="preserve"> та листування з Держпродспоживслужбою</w:t>
            </w:r>
            <w:r w:rsidRPr="00043622">
              <w:rPr>
                <w:sz w:val="28"/>
                <w:szCs w:val="28"/>
                <w:highlight w:val="white"/>
                <w:lang w:val="uk-UA"/>
              </w:rPr>
              <w:t>.</w:t>
            </w:r>
          </w:p>
          <w:p w:rsidR="00414832" w:rsidRPr="00043622" w:rsidRDefault="00414832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</w:p>
        </w:tc>
      </w:tr>
    </w:tbl>
    <w:p w:rsidR="00F410E4" w:rsidRPr="00414832" w:rsidRDefault="00F410E4" w:rsidP="00331B4A">
      <w:pPr>
        <w:pStyle w:val="10"/>
        <w:ind w:left="-6" w:firstLine="871"/>
        <w:jc w:val="both"/>
        <w:rPr>
          <w:lang w:val="ru-RU"/>
        </w:rPr>
      </w:pPr>
    </w:p>
    <w:p w:rsidR="00F410E4" w:rsidRPr="00FC6005" w:rsidRDefault="00F410E4" w:rsidP="00331B4A">
      <w:pPr>
        <w:pStyle w:val="10"/>
        <w:ind w:left="-6" w:firstLine="871"/>
        <w:jc w:val="both"/>
        <w:rPr>
          <w:lang w:val="ru-RU"/>
        </w:rPr>
      </w:pPr>
      <w:r w:rsidRPr="00FC6005">
        <w:rPr>
          <w:sz w:val="28"/>
          <w:szCs w:val="28"/>
          <w:highlight w:val="white"/>
          <w:lang w:val="ru-RU"/>
        </w:rPr>
        <w:t xml:space="preserve">Слід також враховувати, що значна кількість </w:t>
      </w:r>
      <w:r w:rsidR="00FC6005">
        <w:rPr>
          <w:sz w:val="28"/>
          <w:szCs w:val="28"/>
          <w:highlight w:val="white"/>
          <w:lang w:val="uk-UA"/>
        </w:rPr>
        <w:t xml:space="preserve">кормів виробляється в </w:t>
      </w:r>
      <w:r w:rsidR="00FC6005" w:rsidRPr="00FC6005">
        <w:rPr>
          <w:sz w:val="28"/>
          <w:szCs w:val="28"/>
          <w:highlight w:val="white"/>
          <w:lang w:val="ru-RU"/>
        </w:rPr>
        <w:t>господарствах</w:t>
      </w:r>
      <w:r w:rsidRPr="00FC6005">
        <w:rPr>
          <w:sz w:val="28"/>
          <w:szCs w:val="28"/>
          <w:highlight w:val="white"/>
          <w:lang w:val="ru-RU"/>
        </w:rPr>
        <w:t xml:space="preserve"> населення, кількість яких наразі не обліковується, про</w:t>
      </w:r>
      <w:r w:rsidR="00C80C0E">
        <w:rPr>
          <w:sz w:val="28"/>
          <w:szCs w:val="28"/>
          <w:highlight w:val="white"/>
          <w:lang w:val="ru-RU"/>
        </w:rPr>
        <w:t>те які теж зазнають збитків</w:t>
      </w:r>
      <w:r w:rsidR="00546D00">
        <w:rPr>
          <w:sz w:val="28"/>
          <w:szCs w:val="28"/>
          <w:highlight w:val="white"/>
          <w:lang w:val="ru-RU"/>
        </w:rPr>
        <w:t xml:space="preserve"> через зменшення асортименту кормів та кормових добавок на ринку</w:t>
      </w:r>
      <w:r w:rsidRPr="00FC6005">
        <w:rPr>
          <w:sz w:val="28"/>
          <w:szCs w:val="28"/>
          <w:highlight w:val="white"/>
          <w:lang w:val="ru-RU"/>
        </w:rPr>
        <w:t>.</w:t>
      </w:r>
    </w:p>
    <w:p w:rsidR="00F410E4" w:rsidRPr="00112C0D" w:rsidRDefault="00F410E4" w:rsidP="00331B4A">
      <w:pPr>
        <w:pStyle w:val="10"/>
        <w:ind w:left="-6" w:firstLine="871"/>
        <w:jc w:val="both"/>
        <w:rPr>
          <w:lang w:val="ru-RU"/>
        </w:rPr>
      </w:pPr>
    </w:p>
    <w:p w:rsidR="00F410E4" w:rsidRDefault="00570947" w:rsidP="007F1A82">
      <w:pPr>
        <w:pStyle w:val="10"/>
        <w:ind w:left="450"/>
        <w:jc w:val="center"/>
        <w:rPr>
          <w:b/>
          <w:sz w:val="28"/>
          <w:szCs w:val="28"/>
          <w:highlight w:val="white"/>
          <w:lang w:val="uk-UA"/>
        </w:rPr>
      </w:pPr>
      <w:r w:rsidRPr="00570947">
        <w:rPr>
          <w:b/>
          <w:sz w:val="28"/>
          <w:szCs w:val="28"/>
          <w:highlight w:val="white"/>
          <w:lang w:val="uk-UA"/>
        </w:rPr>
        <w:t>IV. Вибір найбільш оптимального альтернативного способу досягнення цілей</w:t>
      </w:r>
    </w:p>
    <w:p w:rsidR="00A012E5" w:rsidRPr="007F1A82" w:rsidRDefault="00A012E5" w:rsidP="007F1A82">
      <w:pPr>
        <w:pStyle w:val="10"/>
        <w:ind w:left="450"/>
        <w:jc w:val="center"/>
        <w:rPr>
          <w:b/>
          <w:sz w:val="28"/>
          <w:szCs w:val="28"/>
          <w:highlight w:val="white"/>
          <w:lang w:val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4253"/>
      </w:tblGrid>
      <w:tr w:rsidR="002918C4" w:rsidRPr="00024E2E" w:rsidTr="00F570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4" w:rsidRPr="00A14E31" w:rsidRDefault="002918C4" w:rsidP="00331B4A">
            <w:pPr>
              <w:jc w:val="center"/>
              <w:rPr>
                <w:sz w:val="26"/>
                <w:szCs w:val="26"/>
                <w:lang w:val="uk-UA"/>
              </w:rPr>
            </w:pPr>
            <w:r w:rsidRPr="00A14E31">
              <w:rPr>
                <w:sz w:val="26"/>
                <w:szCs w:val="26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4" w:rsidRPr="00A14E31" w:rsidRDefault="002918C4" w:rsidP="00331B4A">
            <w:pPr>
              <w:jc w:val="center"/>
              <w:rPr>
                <w:sz w:val="26"/>
                <w:szCs w:val="26"/>
                <w:lang w:val="uk-UA"/>
              </w:rPr>
            </w:pPr>
            <w:r w:rsidRPr="00A14E31">
              <w:rPr>
                <w:sz w:val="26"/>
                <w:szCs w:val="26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918C4" w:rsidRPr="00A14E31" w:rsidRDefault="002918C4" w:rsidP="00331B4A">
            <w:pPr>
              <w:jc w:val="center"/>
              <w:rPr>
                <w:sz w:val="26"/>
                <w:szCs w:val="26"/>
                <w:lang w:val="uk-UA"/>
              </w:rPr>
            </w:pPr>
            <w:r w:rsidRPr="00A14E31">
              <w:rPr>
                <w:sz w:val="26"/>
                <w:szCs w:val="26"/>
                <w:lang w:val="uk-UA"/>
              </w:rPr>
              <w:t>Коментарі щодо присвоєння відповідного бала</w:t>
            </w:r>
          </w:p>
        </w:tc>
      </w:tr>
      <w:tr w:rsidR="002918C4" w:rsidRPr="00024E2E" w:rsidTr="00F570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4" w:rsidRPr="00043622" w:rsidRDefault="002918C4" w:rsidP="000559E0">
            <w:pPr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4" w:rsidRPr="00043622" w:rsidRDefault="002918C4" w:rsidP="003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918C4" w:rsidRPr="00043622" w:rsidRDefault="002918C4" w:rsidP="00331B4A">
            <w:pPr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 xml:space="preserve">Спосіб сумнівний, оскільки </w:t>
            </w:r>
            <w:r w:rsidR="00DE0281">
              <w:rPr>
                <w:sz w:val="28"/>
                <w:szCs w:val="28"/>
                <w:lang w:val="uk-UA"/>
              </w:rPr>
              <w:t>не</w:t>
            </w:r>
            <w:r w:rsidRPr="00043622">
              <w:rPr>
                <w:sz w:val="28"/>
                <w:szCs w:val="28"/>
                <w:lang w:val="uk-UA"/>
              </w:rPr>
              <w:t xml:space="preserve"> вирішує проблему.</w:t>
            </w:r>
            <w:r w:rsidR="000559E0" w:rsidRPr="00043622">
              <w:rPr>
                <w:sz w:val="28"/>
                <w:szCs w:val="28"/>
                <w:lang w:val="uk-UA"/>
              </w:rPr>
              <w:t xml:space="preserve"> </w:t>
            </w:r>
            <w:r w:rsidR="000559E0">
              <w:rPr>
                <w:sz w:val="28"/>
                <w:szCs w:val="28"/>
                <w:lang w:val="uk-UA"/>
              </w:rPr>
              <w:t>М</w:t>
            </w:r>
            <w:r w:rsidR="000559E0" w:rsidRPr="00043622">
              <w:rPr>
                <w:sz w:val="28"/>
                <w:szCs w:val="28"/>
                <w:lang w:val="uk-UA"/>
              </w:rPr>
              <w:t xml:space="preserve">ає низький </w:t>
            </w:r>
            <w:r w:rsidR="000559E0" w:rsidRPr="00043622">
              <w:rPr>
                <w:sz w:val="28"/>
                <w:szCs w:val="28"/>
                <w:lang w:val="uk-UA"/>
              </w:rPr>
              <w:lastRenderedPageBreak/>
              <w:t>рейтинг результативності</w:t>
            </w:r>
            <w:r w:rsidR="000559E0">
              <w:rPr>
                <w:sz w:val="28"/>
                <w:szCs w:val="28"/>
                <w:lang w:val="uk-UA"/>
              </w:rPr>
              <w:t xml:space="preserve">, </w:t>
            </w:r>
            <w:r w:rsidR="000559E0" w:rsidRPr="00043622">
              <w:rPr>
                <w:sz w:val="28"/>
                <w:szCs w:val="28"/>
                <w:lang w:val="uk-UA"/>
              </w:rPr>
              <w:t xml:space="preserve">оскільки </w:t>
            </w:r>
            <w:r w:rsidR="000559E0">
              <w:rPr>
                <w:sz w:val="28"/>
                <w:szCs w:val="28"/>
                <w:lang w:val="uk-UA"/>
              </w:rPr>
              <w:t>відсутність механізмів реалізації вимог Закону</w:t>
            </w:r>
            <w:r w:rsidR="00546D00">
              <w:rPr>
                <w:sz w:val="28"/>
                <w:szCs w:val="28"/>
                <w:lang w:val="uk-UA"/>
              </w:rPr>
              <w:t xml:space="preserve"> України «Про безпечність та гігієну кормів»</w:t>
            </w:r>
            <w:r w:rsidR="000559E0">
              <w:rPr>
                <w:sz w:val="28"/>
                <w:szCs w:val="28"/>
                <w:lang w:val="uk-UA"/>
              </w:rPr>
              <w:t xml:space="preserve"> </w:t>
            </w:r>
            <w:r w:rsidR="00A8681D">
              <w:rPr>
                <w:sz w:val="28"/>
                <w:szCs w:val="28"/>
                <w:lang w:val="uk-UA"/>
              </w:rPr>
              <w:t xml:space="preserve">щодо продовження строку дії реєстраційних посвідчень </w:t>
            </w:r>
            <w:r w:rsidR="000559E0">
              <w:rPr>
                <w:sz w:val="28"/>
                <w:szCs w:val="28"/>
                <w:lang w:val="uk-UA"/>
              </w:rPr>
              <w:t>не</w:t>
            </w:r>
            <w:r w:rsidR="000559E0" w:rsidRPr="00043622">
              <w:rPr>
                <w:sz w:val="28"/>
                <w:szCs w:val="28"/>
                <w:lang w:val="uk-UA"/>
              </w:rPr>
              <w:t xml:space="preserve"> дозволяє вирішити проблему</w:t>
            </w:r>
            <w:r w:rsidR="000559E0">
              <w:rPr>
                <w:sz w:val="28"/>
                <w:szCs w:val="28"/>
                <w:lang w:val="uk-UA"/>
              </w:rPr>
              <w:t>.</w:t>
            </w:r>
          </w:p>
        </w:tc>
      </w:tr>
      <w:tr w:rsidR="002918C4" w:rsidRPr="00024E2E" w:rsidTr="00F5708E">
        <w:tc>
          <w:tcPr>
            <w:tcW w:w="2694" w:type="dxa"/>
            <w:tcBorders>
              <w:top w:val="single" w:sz="4" w:space="0" w:color="auto"/>
            </w:tcBorders>
          </w:tcPr>
          <w:p w:rsidR="002918C4" w:rsidRPr="000559E0" w:rsidRDefault="000559E0" w:rsidP="00331B4A">
            <w:pPr>
              <w:jc w:val="both"/>
              <w:rPr>
                <w:sz w:val="28"/>
                <w:szCs w:val="28"/>
                <w:lang w:val="uk-UA"/>
              </w:rPr>
            </w:pPr>
            <w:r w:rsidRPr="000559E0">
              <w:rPr>
                <w:sz w:val="28"/>
                <w:szCs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918C4" w:rsidRPr="00043622" w:rsidRDefault="002918C4" w:rsidP="003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A8681D" w:rsidRDefault="002918C4" w:rsidP="00331B4A">
            <w:pPr>
              <w:jc w:val="both"/>
              <w:rPr>
                <w:sz w:val="28"/>
                <w:szCs w:val="28"/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 xml:space="preserve">Запропонований спосіб вирішення зазначеної проблеми є найбільш доцільним та адекватним з огляду на можливість досягнення цілей достатнього спрощення державного регулювання та створення </w:t>
            </w:r>
            <w:r w:rsidR="00A8681D">
              <w:rPr>
                <w:sz w:val="28"/>
                <w:szCs w:val="28"/>
                <w:lang w:val="uk-UA"/>
              </w:rPr>
              <w:t>ти</w:t>
            </w:r>
            <w:r w:rsidR="00024E2E">
              <w:rPr>
                <w:sz w:val="28"/>
                <w:szCs w:val="28"/>
                <w:lang w:val="uk-UA"/>
              </w:rPr>
              <w:t>м</w:t>
            </w:r>
            <w:r w:rsidR="00A8681D">
              <w:rPr>
                <w:sz w:val="28"/>
                <w:szCs w:val="28"/>
                <w:lang w:val="uk-UA"/>
              </w:rPr>
              <w:t>часового порядку унесення змін до реєстраційних посвідчень на корми та кормові добавки.</w:t>
            </w:r>
          </w:p>
          <w:p w:rsidR="00A8681D" w:rsidRDefault="000559E0" w:rsidP="000559E0">
            <w:pPr>
              <w:jc w:val="both"/>
              <w:rPr>
                <w:sz w:val="28"/>
                <w:szCs w:val="28"/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 xml:space="preserve">Прийняття </w:t>
            </w:r>
            <w:r w:rsidR="00546D00">
              <w:rPr>
                <w:sz w:val="28"/>
                <w:szCs w:val="28"/>
                <w:lang w:val="uk-UA"/>
              </w:rPr>
              <w:t>за</w:t>
            </w:r>
            <w:r w:rsidR="00DD561B">
              <w:rPr>
                <w:sz w:val="28"/>
                <w:szCs w:val="28"/>
                <w:lang w:val="uk-UA"/>
              </w:rPr>
              <w:t>пропонованого проє</w:t>
            </w:r>
            <w:r w:rsidRPr="00043622">
              <w:rPr>
                <w:sz w:val="28"/>
                <w:szCs w:val="28"/>
                <w:lang w:val="uk-UA"/>
              </w:rPr>
              <w:t>кту наказу Мін</w:t>
            </w:r>
            <w:r w:rsidR="00E65D89">
              <w:rPr>
                <w:sz w:val="28"/>
                <w:szCs w:val="28"/>
                <w:lang w:val="uk-UA"/>
              </w:rPr>
              <w:t>економі</w:t>
            </w:r>
            <w:r w:rsidRPr="00043622">
              <w:rPr>
                <w:sz w:val="28"/>
                <w:szCs w:val="28"/>
                <w:lang w:val="uk-UA"/>
              </w:rPr>
              <w:t xml:space="preserve">ки має високий рейтинг результативності серед альтернатив, оскільки </w:t>
            </w:r>
            <w:r w:rsidR="00A8681D">
              <w:rPr>
                <w:sz w:val="28"/>
                <w:szCs w:val="28"/>
                <w:lang w:val="uk-UA"/>
              </w:rPr>
              <w:t>не впроваджує нового регулювання для операторів ринку, а на тимчасовій основі продовжує дію попередн</w:t>
            </w:r>
            <w:r w:rsidR="0027152C">
              <w:rPr>
                <w:sz w:val="28"/>
                <w:szCs w:val="28"/>
                <w:lang w:val="uk-UA"/>
              </w:rPr>
              <w:t>ь</w:t>
            </w:r>
            <w:r w:rsidR="00A8681D">
              <w:rPr>
                <w:sz w:val="28"/>
                <w:szCs w:val="28"/>
                <w:lang w:val="uk-UA"/>
              </w:rPr>
              <w:t>ого.</w:t>
            </w:r>
          </w:p>
          <w:p w:rsidR="000559E0" w:rsidRPr="00043622" w:rsidRDefault="000559E0" w:rsidP="000559E0">
            <w:pPr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Також передбачається одночасне дода</w:t>
            </w:r>
            <w:r>
              <w:rPr>
                <w:sz w:val="28"/>
                <w:szCs w:val="28"/>
                <w:lang w:val="uk-UA"/>
              </w:rPr>
              <w:t xml:space="preserve">вання </w:t>
            </w:r>
            <w:r w:rsidRPr="00043622">
              <w:rPr>
                <w:sz w:val="28"/>
                <w:szCs w:val="28"/>
                <w:lang w:val="uk-UA"/>
              </w:rPr>
              <w:t xml:space="preserve"> зручності регулюванню як для операторів ринку,</w:t>
            </w:r>
            <w:r w:rsidR="004270F2">
              <w:rPr>
                <w:sz w:val="28"/>
                <w:szCs w:val="28"/>
                <w:lang w:val="uk-UA"/>
              </w:rPr>
              <w:t xml:space="preserve"> так і для Держпродспоживслужби.</w:t>
            </w:r>
          </w:p>
        </w:tc>
      </w:tr>
    </w:tbl>
    <w:p w:rsidR="00F410E4" w:rsidRDefault="00F410E4" w:rsidP="00331B4A">
      <w:pPr>
        <w:pStyle w:val="10"/>
        <w:rPr>
          <w:lang w:val="ru-RU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2338"/>
        <w:gridCol w:w="2339"/>
        <w:gridCol w:w="2341"/>
      </w:tblGrid>
      <w:tr w:rsidR="002918C4" w:rsidRPr="00024E2E" w:rsidTr="00F5708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Рейтинг результативності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Вигоди (підсумок)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Витрати (підсумок)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2918C4" w:rsidRPr="00024E2E" w:rsidTr="00F5708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Альтернатива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440C7" w:rsidP="00331B4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2440C7" w:rsidRDefault="002440C7" w:rsidP="002440C7">
            <w:pPr>
              <w:ind w:left="-6"/>
              <w:rPr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highlight w:val="white"/>
                <w:lang w:val="uk-UA"/>
              </w:rPr>
              <w:t xml:space="preserve">Витрати повʼязані із </w:t>
            </w:r>
            <w:r>
              <w:rPr>
                <w:sz w:val="28"/>
                <w:szCs w:val="28"/>
                <w:highlight w:val="white"/>
                <w:lang w:val="uk-UA"/>
              </w:rPr>
              <w:lastRenderedPageBreak/>
              <w:t>припиненням обігу якісних та безпечних кормів та кормових добавок, погіршенням здоров’я тварин.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A8681D" w:rsidP="00331B4A">
            <w:pPr>
              <w:rPr>
                <w:lang w:val="uk-UA"/>
              </w:rPr>
            </w:pPr>
            <w:r>
              <w:rPr>
                <w:sz w:val="28"/>
                <w:szCs w:val="28"/>
                <w:highlight w:val="white"/>
                <w:lang w:val="uk-UA"/>
              </w:rPr>
              <w:lastRenderedPageBreak/>
              <w:t xml:space="preserve">Рейтинг низький через відсутність </w:t>
            </w:r>
            <w:r>
              <w:rPr>
                <w:sz w:val="28"/>
                <w:szCs w:val="28"/>
                <w:highlight w:val="white"/>
                <w:lang w:val="uk-UA"/>
              </w:rPr>
              <w:lastRenderedPageBreak/>
              <w:t xml:space="preserve">способів вирішення </w:t>
            </w:r>
            <w:r w:rsidR="002918C4" w:rsidRPr="00043622">
              <w:rPr>
                <w:sz w:val="28"/>
                <w:szCs w:val="28"/>
                <w:highlight w:val="white"/>
                <w:lang w:val="uk-UA"/>
              </w:rPr>
              <w:t xml:space="preserve"> проблем</w:t>
            </w:r>
            <w:r>
              <w:rPr>
                <w:sz w:val="28"/>
                <w:szCs w:val="28"/>
                <w:highlight w:val="white"/>
                <w:lang w:val="uk-UA"/>
              </w:rPr>
              <w:t>и</w:t>
            </w:r>
            <w:r w:rsidR="002918C4" w:rsidRPr="00043622">
              <w:rPr>
                <w:sz w:val="28"/>
                <w:szCs w:val="28"/>
                <w:highlight w:val="white"/>
                <w:lang w:val="uk-UA"/>
              </w:rPr>
              <w:t>.</w:t>
            </w:r>
          </w:p>
        </w:tc>
      </w:tr>
      <w:tr w:rsidR="002918C4" w:rsidRPr="00024E2E" w:rsidTr="00F5708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lastRenderedPageBreak/>
              <w:t>Альтернатива 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Зменшення конфліктів між контролюючими органами та бізнесом.</w:t>
            </w:r>
          </w:p>
          <w:p w:rsidR="002918C4" w:rsidRPr="00043622" w:rsidRDefault="002918C4" w:rsidP="00331B4A">
            <w:pPr>
              <w:tabs>
                <w:tab w:val="left" w:pos="9540"/>
              </w:tabs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Орієнтування на виробництво більш якісного та безпечного продукту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Незначні витрати на ознайомлення зі зміненими вимогами.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highlight w:val="white"/>
                <w:lang w:val="uk-UA"/>
              </w:rPr>
              <w:t>Рейтинг високий</w:t>
            </w:r>
            <w:r>
              <w:rPr>
                <w:sz w:val="28"/>
                <w:szCs w:val="28"/>
                <w:highlight w:val="white"/>
                <w:lang w:val="uk-UA"/>
              </w:rPr>
              <w:t xml:space="preserve">, </w:t>
            </w:r>
            <w:r w:rsidRPr="00043622">
              <w:rPr>
                <w:sz w:val="28"/>
                <w:szCs w:val="28"/>
                <w:highlight w:val="white"/>
                <w:lang w:val="uk-UA"/>
              </w:rPr>
              <w:t>оскіл</w:t>
            </w:r>
            <w:r w:rsidR="00DD561B">
              <w:rPr>
                <w:sz w:val="28"/>
                <w:szCs w:val="28"/>
                <w:highlight w:val="white"/>
                <w:lang w:val="uk-UA"/>
              </w:rPr>
              <w:t>ьки прийняття пропонованого проє</w:t>
            </w:r>
            <w:r w:rsidRPr="00043622">
              <w:rPr>
                <w:sz w:val="28"/>
                <w:szCs w:val="28"/>
                <w:highlight w:val="white"/>
                <w:lang w:val="uk-UA"/>
              </w:rPr>
              <w:t>кту наказу дозволяє найбільш повно підійти до розв</w:t>
            </w:r>
            <w:r w:rsidRPr="00043622">
              <w:rPr>
                <w:sz w:val="28"/>
                <w:szCs w:val="28"/>
                <w:lang w:val="uk-UA"/>
              </w:rPr>
              <w:t>’</w:t>
            </w:r>
            <w:r w:rsidRPr="00043622">
              <w:rPr>
                <w:sz w:val="28"/>
                <w:szCs w:val="28"/>
                <w:highlight w:val="white"/>
                <w:lang w:val="uk-UA"/>
              </w:rPr>
              <w:t>язання існуючих проблем.</w:t>
            </w:r>
          </w:p>
        </w:tc>
      </w:tr>
    </w:tbl>
    <w:p w:rsidR="002918C4" w:rsidRPr="002918C4" w:rsidRDefault="002918C4" w:rsidP="00331B4A">
      <w:pPr>
        <w:pStyle w:val="10"/>
        <w:ind w:left="450"/>
        <w:jc w:val="center"/>
        <w:rPr>
          <w:lang w:val="ru-RU"/>
        </w:rPr>
      </w:pP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8"/>
        <w:gridCol w:w="4003"/>
        <w:gridCol w:w="3135"/>
      </w:tblGrid>
      <w:tr w:rsidR="002918C4" w:rsidRPr="00024E2E" w:rsidTr="001D3881"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ind w:firstLine="708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2918C4" w:rsidRPr="00024E2E" w:rsidTr="001D3881"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Альтернатива 1  рейтинг низький</w:t>
            </w:r>
          </w:p>
        </w:tc>
        <w:tc>
          <w:tcPr>
            <w:tcW w:w="4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440C7" w:rsidP="00331B4A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E5" w:rsidRPr="00043622" w:rsidRDefault="002918C4" w:rsidP="00F5708E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Вплив зовнішніх чинників в</w:t>
            </w:r>
            <w:r w:rsidR="002440C7">
              <w:rPr>
                <w:sz w:val="28"/>
                <w:szCs w:val="28"/>
                <w:lang w:val="uk-UA"/>
              </w:rPr>
              <w:t>бачається значним, ризики висо</w:t>
            </w:r>
            <w:r w:rsidRPr="00043622">
              <w:rPr>
                <w:sz w:val="28"/>
                <w:szCs w:val="28"/>
                <w:lang w:val="uk-UA"/>
              </w:rPr>
              <w:t>кі.</w:t>
            </w:r>
          </w:p>
        </w:tc>
      </w:tr>
      <w:tr w:rsidR="002918C4" w:rsidRPr="00024E2E" w:rsidTr="001D3881">
        <w:tc>
          <w:tcPr>
            <w:tcW w:w="2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Альтернатива 2</w:t>
            </w:r>
          </w:p>
          <w:p w:rsidR="002918C4" w:rsidRPr="00043622" w:rsidRDefault="002918C4" w:rsidP="00331B4A">
            <w:pPr>
              <w:rPr>
                <w:lang w:val="uk-UA"/>
              </w:rPr>
            </w:pPr>
          </w:p>
        </w:tc>
        <w:tc>
          <w:tcPr>
            <w:tcW w:w="4003" w:type="dxa"/>
          </w:tcPr>
          <w:p w:rsidR="00A012E5" w:rsidRPr="00043622" w:rsidRDefault="002918C4" w:rsidP="00F5708E">
            <w:pPr>
              <w:jc w:val="both"/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 xml:space="preserve">Запропонований спосіб вирішення зазначеної проблеми є найбільш доцільним та адекватним з огляду на можливість відійти від надмірного регулювання, </w:t>
            </w:r>
            <w:r w:rsidR="002440C7">
              <w:rPr>
                <w:sz w:val="28"/>
                <w:szCs w:val="28"/>
                <w:lang w:val="uk-UA"/>
              </w:rPr>
              <w:t>тимчасово продовжити дію попереднього регулювання</w:t>
            </w:r>
            <w:r w:rsidR="00B158D2">
              <w:rPr>
                <w:sz w:val="28"/>
                <w:szCs w:val="28"/>
                <w:lang w:val="uk-UA"/>
              </w:rPr>
              <w:t>, яке дозволить забезпечити</w:t>
            </w:r>
            <w:r w:rsidR="002440C7">
              <w:rPr>
                <w:sz w:val="28"/>
                <w:szCs w:val="28"/>
                <w:lang w:val="uk-UA"/>
              </w:rPr>
              <w:t xml:space="preserve">  безперешкодний обіг та запобігти дефіциту якісних та безпечних кормів на ринку України</w:t>
            </w:r>
            <w:r w:rsidRPr="000436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8C4" w:rsidRPr="00043622" w:rsidRDefault="002918C4" w:rsidP="00331B4A">
            <w:pPr>
              <w:rPr>
                <w:lang w:val="uk-UA"/>
              </w:rPr>
            </w:pPr>
            <w:r w:rsidRPr="00043622">
              <w:rPr>
                <w:sz w:val="28"/>
                <w:szCs w:val="28"/>
                <w:lang w:val="uk-UA"/>
              </w:rPr>
              <w:t>Вплив зовнішніх чинників вбачається незначним, ризики низькі.</w:t>
            </w:r>
          </w:p>
        </w:tc>
      </w:tr>
    </w:tbl>
    <w:p w:rsidR="00F5708E" w:rsidRDefault="00F5708E" w:rsidP="007F1A82">
      <w:pPr>
        <w:ind w:firstLine="708"/>
        <w:jc w:val="center"/>
        <w:rPr>
          <w:b/>
          <w:sz w:val="28"/>
          <w:szCs w:val="28"/>
          <w:lang w:val="uk-UA"/>
        </w:rPr>
      </w:pPr>
    </w:p>
    <w:p w:rsidR="00F410E4" w:rsidRDefault="002918C4" w:rsidP="007F1A82">
      <w:pPr>
        <w:ind w:firstLine="708"/>
        <w:jc w:val="center"/>
        <w:rPr>
          <w:b/>
          <w:sz w:val="28"/>
          <w:szCs w:val="28"/>
          <w:lang w:val="uk-UA"/>
        </w:rPr>
      </w:pPr>
      <w:r w:rsidRPr="00043622">
        <w:rPr>
          <w:b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A012E5" w:rsidRPr="002918C4" w:rsidRDefault="00A012E5" w:rsidP="007F1A82">
      <w:pPr>
        <w:ind w:firstLine="708"/>
        <w:jc w:val="center"/>
        <w:rPr>
          <w:lang w:val="uk-UA"/>
        </w:rPr>
      </w:pPr>
    </w:p>
    <w:p w:rsidR="004027DF" w:rsidRPr="00D21A4A" w:rsidRDefault="004027DF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D21A4A">
        <w:rPr>
          <w:sz w:val="28"/>
          <w:szCs w:val="28"/>
          <w:lang w:val="uk-UA"/>
        </w:rPr>
        <w:t xml:space="preserve">Для розв’язання проблем визначених у розділі І, </w:t>
      </w:r>
      <w:r w:rsidR="00DD561B">
        <w:rPr>
          <w:sz w:val="28"/>
          <w:szCs w:val="28"/>
          <w:lang w:val="uk-UA"/>
        </w:rPr>
        <w:t>розроблено проє</w:t>
      </w:r>
      <w:r w:rsidR="00D21A4A">
        <w:rPr>
          <w:sz w:val="28"/>
          <w:szCs w:val="28"/>
          <w:lang w:val="uk-UA"/>
        </w:rPr>
        <w:t xml:space="preserve">кт наказу, яким запроваджується </w:t>
      </w:r>
      <w:r w:rsidRPr="00D21A4A">
        <w:rPr>
          <w:sz w:val="28"/>
          <w:szCs w:val="28"/>
          <w:lang w:val="uk-UA"/>
        </w:rPr>
        <w:t>підхід до регулювання, за яким встановлюються л</w:t>
      </w:r>
      <w:r w:rsidR="00B158D2">
        <w:rPr>
          <w:sz w:val="28"/>
          <w:szCs w:val="28"/>
          <w:lang w:val="uk-UA"/>
        </w:rPr>
        <w:t>ише мінімально необхідні вимоги,</w:t>
      </w:r>
      <w:r w:rsidRPr="00D21A4A">
        <w:rPr>
          <w:sz w:val="28"/>
          <w:szCs w:val="28"/>
          <w:lang w:val="uk-UA"/>
        </w:rPr>
        <w:t xml:space="preserve"> що дає </w:t>
      </w:r>
      <w:r w:rsidR="00D21A4A">
        <w:rPr>
          <w:sz w:val="28"/>
          <w:szCs w:val="28"/>
          <w:lang w:val="uk-UA"/>
        </w:rPr>
        <w:t>можливі</w:t>
      </w:r>
      <w:r w:rsidRPr="00D21A4A">
        <w:rPr>
          <w:sz w:val="28"/>
          <w:szCs w:val="28"/>
          <w:lang w:val="uk-UA"/>
        </w:rPr>
        <w:t>ст</w:t>
      </w:r>
      <w:r w:rsidR="00D21A4A">
        <w:rPr>
          <w:sz w:val="28"/>
          <w:szCs w:val="28"/>
          <w:lang w:val="uk-UA"/>
        </w:rPr>
        <w:t>ь</w:t>
      </w:r>
      <w:r w:rsidRPr="00D21A4A">
        <w:rPr>
          <w:sz w:val="28"/>
          <w:szCs w:val="28"/>
          <w:lang w:val="uk-UA"/>
        </w:rPr>
        <w:t xml:space="preserve"> суб’єкт</w:t>
      </w:r>
      <w:r w:rsidR="00B158D2">
        <w:rPr>
          <w:sz w:val="28"/>
          <w:szCs w:val="28"/>
          <w:lang w:val="uk-UA"/>
        </w:rPr>
        <w:t xml:space="preserve">ам господарювання продовжувати обіг кормів та кормових добавок у законний </w:t>
      </w:r>
      <w:r w:rsidR="00D21A4A">
        <w:rPr>
          <w:sz w:val="28"/>
          <w:szCs w:val="28"/>
          <w:lang w:val="uk-UA"/>
        </w:rPr>
        <w:t>спосіб.</w:t>
      </w:r>
    </w:p>
    <w:p w:rsidR="007D753F" w:rsidRPr="00732C54" w:rsidRDefault="00DD561B" w:rsidP="00B158D2">
      <w:pPr>
        <w:pStyle w:val="1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4027DF" w:rsidRPr="00D21A4A">
        <w:rPr>
          <w:sz w:val="28"/>
          <w:szCs w:val="28"/>
          <w:lang w:val="uk-UA"/>
        </w:rPr>
        <w:t xml:space="preserve">кт наказу </w:t>
      </w:r>
      <w:r w:rsidR="00D21A4A" w:rsidRPr="00D21A4A">
        <w:rPr>
          <w:sz w:val="28"/>
          <w:szCs w:val="28"/>
          <w:lang w:val="uk-UA"/>
        </w:rPr>
        <w:t xml:space="preserve">впроваджує механізми реалізації положень Закону </w:t>
      </w:r>
      <w:r w:rsidR="00AA4610">
        <w:rPr>
          <w:sz w:val="28"/>
          <w:szCs w:val="28"/>
          <w:lang w:val="uk-UA"/>
        </w:rPr>
        <w:t xml:space="preserve">та </w:t>
      </w:r>
      <w:r w:rsidR="00D21A4A" w:rsidRPr="00D21A4A">
        <w:rPr>
          <w:sz w:val="28"/>
          <w:szCs w:val="28"/>
          <w:lang w:val="uk-UA"/>
        </w:rPr>
        <w:t xml:space="preserve">направлені на </w:t>
      </w:r>
      <w:r w:rsidR="00D21A4A">
        <w:rPr>
          <w:sz w:val="28"/>
          <w:szCs w:val="28"/>
          <w:lang w:val="uk-UA"/>
        </w:rPr>
        <w:t>гарантування безпечності кормів</w:t>
      </w:r>
      <w:r w:rsidR="004027DF" w:rsidRPr="00D21A4A">
        <w:rPr>
          <w:sz w:val="28"/>
          <w:szCs w:val="28"/>
          <w:lang w:val="uk-UA"/>
        </w:rPr>
        <w:t xml:space="preserve">, </w:t>
      </w:r>
      <w:r w:rsidR="00B158D2">
        <w:rPr>
          <w:sz w:val="28"/>
          <w:szCs w:val="28"/>
          <w:lang w:val="uk-UA"/>
        </w:rPr>
        <w:t>зокрема</w:t>
      </w:r>
      <w:r w:rsidR="00AA4610">
        <w:rPr>
          <w:sz w:val="28"/>
          <w:szCs w:val="28"/>
          <w:lang w:val="uk-UA"/>
        </w:rPr>
        <w:t>,</w:t>
      </w:r>
      <w:r w:rsidR="00B158D2">
        <w:rPr>
          <w:sz w:val="28"/>
          <w:szCs w:val="28"/>
          <w:lang w:val="uk-UA"/>
        </w:rPr>
        <w:t xml:space="preserve"> шляхом </w:t>
      </w:r>
      <w:r w:rsidR="007D753F">
        <w:rPr>
          <w:sz w:val="28"/>
          <w:szCs w:val="28"/>
          <w:lang w:val="uk-UA"/>
        </w:rPr>
        <w:t>з</w:t>
      </w:r>
      <w:r w:rsidR="007D753F" w:rsidRPr="00732C54">
        <w:rPr>
          <w:sz w:val="28"/>
          <w:szCs w:val="28"/>
          <w:lang w:val="uk-UA"/>
        </w:rPr>
        <w:t xml:space="preserve">атвердження </w:t>
      </w:r>
      <w:r w:rsidR="00B158D2">
        <w:rPr>
          <w:sz w:val="28"/>
          <w:szCs w:val="28"/>
          <w:lang w:val="uk-UA"/>
        </w:rPr>
        <w:t xml:space="preserve">Порядку </w:t>
      </w:r>
      <w:r w:rsidR="00AA4610">
        <w:rPr>
          <w:sz w:val="28"/>
          <w:szCs w:val="28"/>
          <w:lang w:val="uk-UA"/>
        </w:rPr>
        <w:t>в</w:t>
      </w:r>
      <w:r w:rsidR="00B158D2">
        <w:rPr>
          <w:sz w:val="28"/>
          <w:szCs w:val="28"/>
          <w:lang w:val="uk-UA"/>
        </w:rPr>
        <w:t>несення змін до реєстраційних посвідчень</w:t>
      </w:r>
      <w:r w:rsidR="007D753F">
        <w:rPr>
          <w:sz w:val="28"/>
          <w:szCs w:val="28"/>
          <w:lang w:val="uk-UA"/>
        </w:rPr>
        <w:t>.</w:t>
      </w:r>
    </w:p>
    <w:p w:rsidR="00B158D2" w:rsidRDefault="004027DF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FE4F28">
        <w:rPr>
          <w:sz w:val="28"/>
          <w:szCs w:val="28"/>
          <w:lang w:val="uk-UA"/>
        </w:rPr>
        <w:t xml:space="preserve">У відповідності до усталеної практики, що впроваджується в Україні, організація роботи по забезпеченню виконання </w:t>
      </w:r>
      <w:r w:rsidR="00B158D2">
        <w:rPr>
          <w:sz w:val="28"/>
          <w:szCs w:val="28"/>
          <w:lang w:val="uk-UA"/>
        </w:rPr>
        <w:t xml:space="preserve">Порядку </w:t>
      </w:r>
      <w:r w:rsidR="00AA4610">
        <w:rPr>
          <w:sz w:val="28"/>
          <w:szCs w:val="28"/>
          <w:lang w:val="uk-UA"/>
        </w:rPr>
        <w:t>в</w:t>
      </w:r>
      <w:r w:rsidR="00B158D2">
        <w:rPr>
          <w:sz w:val="28"/>
          <w:szCs w:val="28"/>
          <w:lang w:val="uk-UA"/>
        </w:rPr>
        <w:t>несення змін до реєстраційних посвідчень</w:t>
      </w:r>
      <w:r w:rsidRPr="00FE4F28">
        <w:rPr>
          <w:sz w:val="28"/>
          <w:szCs w:val="28"/>
          <w:lang w:val="uk-UA"/>
        </w:rPr>
        <w:t xml:space="preserve">, а також відповідальність за це покладається на відповідних операторів ринку. </w:t>
      </w:r>
      <w:r w:rsidRPr="00B158D2">
        <w:rPr>
          <w:sz w:val="28"/>
          <w:szCs w:val="28"/>
          <w:lang w:val="uk-UA"/>
        </w:rPr>
        <w:t xml:space="preserve">Відповідно до </w:t>
      </w:r>
      <w:r w:rsidR="00B158D2" w:rsidRPr="00B158D2">
        <w:rPr>
          <w:sz w:val="28"/>
          <w:szCs w:val="28"/>
          <w:lang w:val="uk-UA"/>
        </w:rPr>
        <w:t>європейської практики зберіга</w:t>
      </w:r>
      <w:r w:rsidRPr="00B158D2">
        <w:rPr>
          <w:sz w:val="28"/>
          <w:szCs w:val="28"/>
          <w:lang w:val="uk-UA"/>
        </w:rPr>
        <w:t xml:space="preserve">ється обов’язок операторів ринку щодо інформування компетентного органу про випадки </w:t>
      </w:r>
      <w:r w:rsidR="00B158D2" w:rsidRPr="00B158D2">
        <w:rPr>
          <w:sz w:val="28"/>
          <w:szCs w:val="28"/>
          <w:lang w:val="uk-UA"/>
        </w:rPr>
        <w:t>зміни відомостей</w:t>
      </w:r>
      <w:r w:rsidR="00B158D2">
        <w:rPr>
          <w:sz w:val="28"/>
          <w:szCs w:val="28"/>
          <w:lang w:val="uk-UA"/>
        </w:rPr>
        <w:t>, які містяться у реєстраційних посвідченнях.</w:t>
      </w:r>
    </w:p>
    <w:p w:rsidR="004E2489" w:rsidRPr="004E2489" w:rsidRDefault="00B158D2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B158D2">
        <w:rPr>
          <w:sz w:val="28"/>
          <w:szCs w:val="28"/>
          <w:lang w:val="uk-UA"/>
        </w:rPr>
        <w:t xml:space="preserve">У разі прийняття </w:t>
      </w:r>
      <w:r w:rsidR="004027DF" w:rsidRPr="00B158D2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оператори ринку та Держпродспоживслужба </w:t>
      </w:r>
      <w:r w:rsidR="004027DF" w:rsidRPr="00B158D2">
        <w:rPr>
          <w:sz w:val="28"/>
          <w:szCs w:val="28"/>
          <w:lang w:val="uk-UA"/>
        </w:rPr>
        <w:t>зможуть повноцінно здійснювати всі необхідні заходи щодо виробництва</w:t>
      </w:r>
      <w:r w:rsidR="004E2489">
        <w:rPr>
          <w:sz w:val="28"/>
          <w:szCs w:val="28"/>
          <w:lang w:val="uk-UA"/>
        </w:rPr>
        <w:t xml:space="preserve"> та обігу</w:t>
      </w:r>
      <w:r w:rsidR="004027DF" w:rsidRPr="00B158D2">
        <w:rPr>
          <w:sz w:val="28"/>
          <w:szCs w:val="28"/>
          <w:lang w:val="uk-UA"/>
        </w:rPr>
        <w:t xml:space="preserve"> безпечн</w:t>
      </w:r>
      <w:r w:rsidR="00FE4F28" w:rsidRPr="00B158D2">
        <w:rPr>
          <w:sz w:val="28"/>
          <w:szCs w:val="28"/>
          <w:lang w:val="uk-UA"/>
        </w:rPr>
        <w:t>их кормів</w:t>
      </w:r>
      <w:r w:rsidR="004E2489">
        <w:rPr>
          <w:sz w:val="28"/>
          <w:szCs w:val="28"/>
          <w:lang w:val="uk-UA"/>
        </w:rPr>
        <w:t xml:space="preserve"> та кормових добавок</w:t>
      </w:r>
      <w:r w:rsidR="00FE4F28" w:rsidRPr="00B158D2">
        <w:rPr>
          <w:sz w:val="28"/>
          <w:szCs w:val="28"/>
          <w:lang w:val="uk-UA"/>
        </w:rPr>
        <w:t xml:space="preserve">. </w:t>
      </w:r>
    </w:p>
    <w:p w:rsidR="004027DF" w:rsidRDefault="000B7237" w:rsidP="00331B4A">
      <w:pPr>
        <w:pStyle w:val="10"/>
        <w:ind w:firstLine="708"/>
        <w:jc w:val="both"/>
        <w:rPr>
          <w:sz w:val="28"/>
          <w:szCs w:val="28"/>
          <w:lang w:val="ru-RU"/>
        </w:rPr>
      </w:pPr>
      <w:r w:rsidRPr="000B7237">
        <w:rPr>
          <w:sz w:val="28"/>
          <w:szCs w:val="28"/>
          <w:lang w:val="ru-RU"/>
        </w:rPr>
        <w:t>Заходи, які необхідно здійснити органам влади для розв’язання проблеми:</w:t>
      </w:r>
    </w:p>
    <w:p w:rsidR="000B7237" w:rsidRPr="00AF75C4" w:rsidRDefault="004E2489" w:rsidP="00331B4A">
      <w:pPr>
        <w:pStyle w:val="ad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0B7237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 ветеринарних підрозділів Держпродспоживслужби </w:t>
      </w:r>
      <w:r w:rsidR="00DD561B">
        <w:rPr>
          <w:rFonts w:ascii="Times New Roman" w:hAnsi="Times New Roman" w:cs="Times New Roman"/>
          <w:sz w:val="28"/>
          <w:szCs w:val="28"/>
          <w:lang w:val="uk-UA"/>
        </w:rPr>
        <w:t>з 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ктом</w:t>
      </w:r>
      <w:r w:rsidR="000B7237">
        <w:rPr>
          <w:rFonts w:ascii="Times New Roman" w:hAnsi="Times New Roman" w:cs="Times New Roman"/>
          <w:sz w:val="28"/>
          <w:szCs w:val="28"/>
          <w:lang w:val="uk-UA"/>
        </w:rPr>
        <w:t xml:space="preserve"> наказу та внести необхідні корективи в інструктивні матеріали на місцях;</w:t>
      </w:r>
    </w:p>
    <w:p w:rsidR="004E2489" w:rsidRDefault="000B7237" w:rsidP="004E2489">
      <w:pPr>
        <w:pStyle w:val="ad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інформування операторів ринку про встановлення вимог шляхом о</w:t>
      </w:r>
      <w:r w:rsidR="004E2489">
        <w:rPr>
          <w:rFonts w:ascii="Times New Roman" w:hAnsi="Times New Roman" w:cs="Times New Roman"/>
          <w:sz w:val="28"/>
          <w:szCs w:val="28"/>
          <w:lang w:val="uk-UA"/>
        </w:rPr>
        <w:t>прилюднення їх на офіційних веб</w:t>
      </w:r>
      <w:r>
        <w:rPr>
          <w:rFonts w:ascii="Times New Roman" w:hAnsi="Times New Roman" w:cs="Times New Roman"/>
          <w:sz w:val="28"/>
          <w:szCs w:val="28"/>
          <w:lang w:val="uk-UA"/>
        </w:rPr>
        <w:t>сайтах Мін</w:t>
      </w:r>
      <w:r w:rsidR="00E65D89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Держпродспоживслужби, а також шляхом роз’яснювальної роботи через територіальні органи Держпродспоживслужби</w:t>
      </w:r>
      <w:r w:rsidR="004E24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7237" w:rsidRDefault="000B7237" w:rsidP="004E2489">
      <w:pPr>
        <w:pStyle w:val="ad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Заходи, які необхідно здійснити суб’єктам господарювання:</w:t>
      </w:r>
    </w:p>
    <w:p w:rsidR="000B7237" w:rsidRPr="00AF75C4" w:rsidRDefault="000B7237" w:rsidP="00331B4A">
      <w:pPr>
        <w:pStyle w:val="ad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4E2489"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персоналу щодо особливостей застосування вимог </w:t>
      </w:r>
      <w:r w:rsidR="004E2489" w:rsidRPr="004E2489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="00AA46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2489" w:rsidRPr="004E2489">
        <w:rPr>
          <w:rFonts w:ascii="Times New Roman" w:hAnsi="Times New Roman" w:cs="Times New Roman"/>
          <w:sz w:val="28"/>
          <w:szCs w:val="28"/>
          <w:lang w:val="uk-UA"/>
        </w:rPr>
        <w:t xml:space="preserve">несення змін до реєстраційних посвідчень </w:t>
      </w:r>
      <w:r w:rsidR="004E248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пов</w:t>
      </w:r>
      <w:r w:rsidR="00A94756">
        <w:rPr>
          <w:rFonts w:ascii="Times New Roman" w:hAnsi="Times New Roman" w:cs="Times New Roman"/>
          <w:sz w:val="28"/>
          <w:szCs w:val="28"/>
          <w:lang w:val="uk-UA"/>
        </w:rPr>
        <w:t>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язаної з виробництвом </w:t>
      </w:r>
      <w:r w:rsidR="00E27775">
        <w:rPr>
          <w:rFonts w:ascii="Times New Roman" w:hAnsi="Times New Roman" w:cs="Times New Roman"/>
          <w:sz w:val="28"/>
          <w:szCs w:val="28"/>
          <w:lang w:val="uk-UA"/>
        </w:rPr>
        <w:t>кормів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12E5" w:rsidRPr="00F5708E" w:rsidRDefault="000B7237" w:rsidP="00D33894">
      <w:pPr>
        <w:pStyle w:val="ad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внутрішні операційні та управлінські процеси щодо приведення у відповідність до вимог, зокрема в ч</w:t>
      </w:r>
      <w:r w:rsidR="004E2489">
        <w:rPr>
          <w:rFonts w:ascii="Times New Roman" w:hAnsi="Times New Roman" w:cs="Times New Roman"/>
          <w:sz w:val="28"/>
          <w:szCs w:val="28"/>
          <w:lang w:val="uk-UA"/>
        </w:rPr>
        <w:t xml:space="preserve">астині інформування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 щодо</w:t>
      </w:r>
      <w:r w:rsidR="004E2489">
        <w:rPr>
          <w:rFonts w:ascii="Times New Roman" w:hAnsi="Times New Roman" w:cs="Times New Roman"/>
          <w:sz w:val="28"/>
          <w:szCs w:val="28"/>
          <w:lang w:val="uk-UA"/>
        </w:rPr>
        <w:t xml:space="preserve"> зміни відомостей вказаних у реєстраційних посвідченнях</w:t>
      </w:r>
      <w:r w:rsidR="0012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08E" w:rsidRPr="00D33894" w:rsidRDefault="00F5708E" w:rsidP="00F5708E">
      <w:pPr>
        <w:pStyle w:val="ad"/>
        <w:spacing w:line="240" w:lineRule="auto"/>
        <w:ind w:left="708"/>
        <w:jc w:val="both"/>
        <w:rPr>
          <w:rFonts w:ascii="Times New Roman" w:hAnsi="Times New Roman" w:cs="Times New Roman"/>
          <w:lang w:val="uk-UA"/>
        </w:rPr>
      </w:pPr>
    </w:p>
    <w:p w:rsidR="009C3CF5" w:rsidRDefault="009C3CF5" w:rsidP="00331B4A">
      <w:pPr>
        <w:tabs>
          <w:tab w:val="left" w:pos="720"/>
        </w:tabs>
        <w:ind w:left="720"/>
        <w:jc w:val="center"/>
        <w:rPr>
          <w:b/>
          <w:sz w:val="28"/>
          <w:szCs w:val="28"/>
          <w:lang w:val="uk-UA"/>
        </w:rPr>
      </w:pPr>
    </w:p>
    <w:p w:rsidR="000B7237" w:rsidRPr="00043622" w:rsidRDefault="000B7237" w:rsidP="00331B4A">
      <w:pPr>
        <w:tabs>
          <w:tab w:val="left" w:pos="720"/>
        </w:tabs>
        <w:ind w:left="720"/>
        <w:jc w:val="center"/>
        <w:rPr>
          <w:lang w:val="uk-UA"/>
        </w:rPr>
      </w:pPr>
      <w:r w:rsidRPr="00043622">
        <w:rPr>
          <w:b/>
          <w:sz w:val="28"/>
          <w:szCs w:val="28"/>
          <w:lang w:val="uk-UA"/>
        </w:rPr>
        <w:t xml:space="preserve">VI. Оцінка виконання вимог регуляторного акта залежно від </w:t>
      </w:r>
      <w:r w:rsidRPr="00043622">
        <w:rPr>
          <w:b/>
          <w:sz w:val="28"/>
          <w:szCs w:val="28"/>
          <w:lang w:val="uk-UA"/>
        </w:rPr>
        <w:lastRenderedPageBreak/>
        <w:t>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F410E4" w:rsidRPr="000B7237" w:rsidRDefault="00F410E4" w:rsidP="00331B4A">
      <w:pPr>
        <w:pStyle w:val="10"/>
        <w:ind w:firstLine="708"/>
        <w:jc w:val="both"/>
        <w:rPr>
          <w:lang w:val="uk-UA"/>
        </w:rPr>
      </w:pPr>
    </w:p>
    <w:p w:rsidR="00386BA3" w:rsidRPr="00050A95" w:rsidRDefault="00386BA3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013ACE">
        <w:rPr>
          <w:sz w:val="28"/>
          <w:szCs w:val="28"/>
          <w:lang w:val="uk-UA"/>
        </w:rPr>
        <w:tab/>
      </w:r>
      <w:r w:rsidR="00DD561B">
        <w:rPr>
          <w:sz w:val="28"/>
          <w:szCs w:val="28"/>
          <w:lang w:val="uk-UA"/>
        </w:rPr>
        <w:t>Оскільки проє</w:t>
      </w:r>
      <w:r w:rsidRPr="00050A95">
        <w:rPr>
          <w:sz w:val="28"/>
          <w:szCs w:val="28"/>
          <w:lang w:val="uk-UA"/>
        </w:rPr>
        <w:t xml:space="preserve">ктом наказу з одного боку пропонується запровадження </w:t>
      </w:r>
      <w:r w:rsidR="004E2489">
        <w:rPr>
          <w:sz w:val="28"/>
          <w:szCs w:val="28"/>
          <w:lang w:val="uk-UA"/>
        </w:rPr>
        <w:t xml:space="preserve">відповідного Порядку </w:t>
      </w:r>
      <w:r w:rsidR="00AA4610">
        <w:rPr>
          <w:sz w:val="28"/>
          <w:szCs w:val="28"/>
          <w:lang w:val="uk-UA"/>
        </w:rPr>
        <w:t>в</w:t>
      </w:r>
      <w:r w:rsidR="004E2489">
        <w:rPr>
          <w:sz w:val="28"/>
          <w:szCs w:val="28"/>
          <w:lang w:val="uk-UA"/>
        </w:rPr>
        <w:t>несення змін до реєстраційних посвідчень</w:t>
      </w:r>
      <w:r w:rsidRPr="00050A95">
        <w:rPr>
          <w:sz w:val="28"/>
          <w:szCs w:val="28"/>
          <w:lang w:val="uk-UA"/>
        </w:rPr>
        <w:t xml:space="preserve"> для операторів ринку кормів, а з іншого, мінімальні базові вимоги є такими, що відомі операторам і повинні були виконуватися раніше, витрати суб’єктів господарської діяльності є незначними, пов’язаними із потребами на ознайомлення із зміненими підходами та можливих оперативних змін внутрішніх процедур та дій фахівців, зокрема щодо здійснення інформування </w:t>
      </w:r>
      <w:r w:rsidR="004E2489">
        <w:rPr>
          <w:sz w:val="28"/>
          <w:szCs w:val="28"/>
          <w:lang w:val="uk-UA"/>
        </w:rPr>
        <w:t>Держпродспоживслужби</w:t>
      </w:r>
      <w:r w:rsidRPr="00050A95">
        <w:rPr>
          <w:sz w:val="28"/>
          <w:szCs w:val="28"/>
          <w:lang w:val="uk-UA"/>
        </w:rPr>
        <w:t>.</w:t>
      </w:r>
    </w:p>
    <w:p w:rsidR="00386BA3" w:rsidRPr="00050A95" w:rsidRDefault="00386BA3" w:rsidP="00331B4A">
      <w:pPr>
        <w:pStyle w:val="10"/>
        <w:ind w:firstLine="708"/>
        <w:jc w:val="both"/>
        <w:rPr>
          <w:sz w:val="28"/>
          <w:szCs w:val="28"/>
          <w:lang w:val="uk-UA"/>
        </w:rPr>
      </w:pPr>
      <w:r w:rsidRPr="00050A95">
        <w:rPr>
          <w:sz w:val="28"/>
          <w:szCs w:val="28"/>
          <w:lang w:val="uk-UA"/>
        </w:rPr>
        <w:t>Витрати для суб’єктів господарської діяльності та/або фізичних осіб, що раніше не виконували аналогічні вимоги щодо виробництва і обігу кормів неможливо узагальнено обрахувати через значну варіативність. Такі витрати обраховуватимуться безпосередньо під час будівництва, при введенні виробничих об’єктів в експлуатацію, тощо.</w:t>
      </w:r>
    </w:p>
    <w:p w:rsidR="00F410E4" w:rsidRDefault="00DD561B" w:rsidP="00331B4A">
      <w:pPr>
        <w:pStyle w:val="1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Реалізація проє</w:t>
      </w:r>
      <w:r w:rsidR="00386BA3" w:rsidRPr="00386BA3">
        <w:rPr>
          <w:sz w:val="28"/>
          <w:szCs w:val="28"/>
          <w:lang w:val="ru-RU"/>
        </w:rPr>
        <w:t xml:space="preserve">кту наказу вимагає належного інструктування державних інспекторів ветеринарної медицини, які будуть здійснювати </w:t>
      </w:r>
      <w:r w:rsidR="004E2489">
        <w:rPr>
          <w:sz w:val="28"/>
          <w:szCs w:val="28"/>
          <w:lang w:val="ru-RU"/>
        </w:rPr>
        <w:t xml:space="preserve">державний </w:t>
      </w:r>
      <w:r w:rsidR="00386BA3" w:rsidRPr="00386BA3">
        <w:rPr>
          <w:sz w:val="28"/>
          <w:szCs w:val="28"/>
          <w:lang w:val="ru-RU"/>
        </w:rPr>
        <w:t xml:space="preserve">контроль за </w:t>
      </w:r>
      <w:r w:rsidR="00386BA3">
        <w:rPr>
          <w:sz w:val="28"/>
          <w:szCs w:val="28"/>
          <w:lang w:val="ru-RU"/>
        </w:rPr>
        <w:t>виробництвом та обігом кормів</w:t>
      </w:r>
      <w:r w:rsidR="004E2489">
        <w:rPr>
          <w:sz w:val="28"/>
          <w:szCs w:val="28"/>
          <w:lang w:val="ru-RU"/>
        </w:rPr>
        <w:t xml:space="preserve"> згідно </w:t>
      </w:r>
      <w:r w:rsidR="00386BA3">
        <w:rPr>
          <w:sz w:val="28"/>
          <w:szCs w:val="28"/>
          <w:lang w:val="ru-RU"/>
        </w:rPr>
        <w:t>вста</w:t>
      </w:r>
      <w:r w:rsidR="00386BA3" w:rsidRPr="00386BA3">
        <w:rPr>
          <w:sz w:val="28"/>
          <w:szCs w:val="28"/>
          <w:lang w:val="ru-RU"/>
        </w:rPr>
        <w:t>новлених підходів. Разом з тим, це має відбуватися в рамках звичайної діяльності Держпродспоживслужби, тому окремі видатки органів виконавчої влади не передбачаються, і відповідні розрахунки згідно Додатку 3 до Методики проведення аналізу впливу регу</w:t>
      </w:r>
      <w:r w:rsidR="00386BA3">
        <w:rPr>
          <w:sz w:val="28"/>
          <w:szCs w:val="28"/>
          <w:lang w:val="ru-RU"/>
        </w:rPr>
        <w:t>ляторного акту не проводились.</w:t>
      </w:r>
    </w:p>
    <w:p w:rsidR="00386BA3" w:rsidRPr="005659F5" w:rsidRDefault="00386BA3" w:rsidP="00331B4A">
      <w:pPr>
        <w:pStyle w:val="10"/>
        <w:ind w:firstLine="708"/>
        <w:jc w:val="both"/>
        <w:rPr>
          <w:lang w:val="uk-UA"/>
        </w:rPr>
      </w:pPr>
    </w:p>
    <w:p w:rsidR="00386BA3" w:rsidRDefault="00386BA3" w:rsidP="00A012E5">
      <w:pPr>
        <w:pStyle w:val="10"/>
        <w:jc w:val="center"/>
        <w:rPr>
          <w:b/>
          <w:sz w:val="28"/>
          <w:szCs w:val="28"/>
          <w:lang w:val="ru-RU"/>
        </w:rPr>
      </w:pPr>
      <w:r w:rsidRPr="00386BA3">
        <w:rPr>
          <w:b/>
          <w:sz w:val="28"/>
          <w:szCs w:val="28"/>
        </w:rPr>
        <w:t>VII</w:t>
      </w:r>
      <w:r w:rsidRPr="00386BA3">
        <w:rPr>
          <w:b/>
          <w:sz w:val="28"/>
          <w:szCs w:val="28"/>
          <w:lang w:val="ru-RU"/>
        </w:rPr>
        <w:t>. Обґрунтування запропонованого строку дії регуляторного акта</w:t>
      </w:r>
    </w:p>
    <w:p w:rsidR="00D33894" w:rsidRPr="00A012E5" w:rsidRDefault="00D33894" w:rsidP="00A012E5">
      <w:pPr>
        <w:pStyle w:val="10"/>
        <w:jc w:val="center"/>
        <w:rPr>
          <w:b/>
          <w:sz w:val="28"/>
          <w:szCs w:val="28"/>
          <w:lang w:val="ru-RU"/>
        </w:rPr>
      </w:pPr>
    </w:p>
    <w:p w:rsidR="00A012E5" w:rsidRPr="00C80229" w:rsidRDefault="005531A3" w:rsidP="00A012E5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Строк дії регуляторного акта </w:t>
      </w:r>
      <w:r w:rsidR="00A012E5" w:rsidRPr="00C80229">
        <w:rPr>
          <w:sz w:val="28"/>
          <w:szCs w:val="28"/>
          <w:lang w:val="ru-RU" w:eastAsia="ru-RU"/>
        </w:rPr>
        <w:t>має тимчасовий характ</w:t>
      </w:r>
      <w:r w:rsidR="00A012E5">
        <w:rPr>
          <w:sz w:val="28"/>
          <w:szCs w:val="28"/>
          <w:lang w:val="ru-RU" w:eastAsia="ru-RU"/>
        </w:rPr>
        <w:t xml:space="preserve">ер </w:t>
      </w:r>
      <w:r w:rsidR="00A012E5">
        <w:rPr>
          <w:sz w:val="28"/>
          <w:szCs w:val="28"/>
          <w:lang w:val="uk-UA" w:eastAsia="ru-RU"/>
        </w:rPr>
        <w:t>та дія його закінчується</w:t>
      </w:r>
      <w:r w:rsidR="00A012E5" w:rsidRPr="00C80229">
        <w:rPr>
          <w:sz w:val="28"/>
          <w:szCs w:val="28"/>
          <w:lang w:val="ru-RU" w:eastAsia="ru-RU"/>
        </w:rPr>
        <w:t xml:space="preserve"> 19.01.2024.</w:t>
      </w:r>
    </w:p>
    <w:p w:rsidR="00E65D89" w:rsidRPr="00684A79" w:rsidRDefault="00E65D89" w:rsidP="00A012E5">
      <w:pPr>
        <w:pStyle w:val="10"/>
        <w:rPr>
          <w:b/>
          <w:sz w:val="28"/>
          <w:szCs w:val="28"/>
          <w:lang w:val="ru-RU"/>
        </w:rPr>
      </w:pPr>
    </w:p>
    <w:p w:rsidR="00E65D89" w:rsidRDefault="00386BA3" w:rsidP="00A012E5">
      <w:pPr>
        <w:pStyle w:val="10"/>
        <w:jc w:val="center"/>
        <w:rPr>
          <w:b/>
          <w:sz w:val="28"/>
          <w:szCs w:val="28"/>
          <w:lang w:val="ru-RU"/>
        </w:rPr>
      </w:pPr>
      <w:r w:rsidRPr="00386BA3">
        <w:rPr>
          <w:b/>
          <w:sz w:val="28"/>
          <w:szCs w:val="28"/>
        </w:rPr>
        <w:t>VIII</w:t>
      </w:r>
      <w:r w:rsidRPr="00386BA3">
        <w:rPr>
          <w:b/>
          <w:sz w:val="28"/>
          <w:szCs w:val="28"/>
          <w:lang w:val="ru-RU"/>
        </w:rPr>
        <w:t>. Визначення показників результативності дії регуляторного акта</w:t>
      </w:r>
    </w:p>
    <w:p w:rsidR="00D33894" w:rsidRPr="00A012E5" w:rsidRDefault="00D33894" w:rsidP="00A012E5">
      <w:pPr>
        <w:pStyle w:val="10"/>
        <w:jc w:val="center"/>
        <w:rPr>
          <w:b/>
          <w:sz w:val="28"/>
          <w:szCs w:val="28"/>
          <w:lang w:val="ru-RU"/>
        </w:rPr>
      </w:pPr>
    </w:p>
    <w:p w:rsidR="00386BA3" w:rsidRDefault="00386BA3" w:rsidP="00331B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Прогнозні значення показників результативності регуляторного акта будуть встановлюватися після набрання чинності актом</w:t>
      </w:r>
      <w:r w:rsidR="004E2489">
        <w:rPr>
          <w:sz w:val="28"/>
          <w:szCs w:val="28"/>
          <w:lang w:val="uk-UA"/>
        </w:rPr>
        <w:t>.</w:t>
      </w:r>
    </w:p>
    <w:p w:rsidR="00386BA3" w:rsidRDefault="00386BA3" w:rsidP="00331B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Прогнозними значеннями показників результативності регуляторного акта є:</w:t>
      </w:r>
    </w:p>
    <w:p w:rsidR="00386BA3" w:rsidRPr="00386BA3" w:rsidRDefault="00386BA3" w:rsidP="00331B4A">
      <w:pPr>
        <w:ind w:firstLine="708"/>
        <w:jc w:val="both"/>
        <w:rPr>
          <w:sz w:val="28"/>
          <w:szCs w:val="28"/>
          <w:lang w:val="ru-RU"/>
        </w:rPr>
      </w:pPr>
      <w:r w:rsidRPr="00386BA3">
        <w:rPr>
          <w:sz w:val="28"/>
          <w:szCs w:val="28"/>
          <w:lang w:val="ru-RU"/>
        </w:rPr>
        <w:t>1. Розмір надходжень до державного та місцевих бюджетів і державних цільових фондів, пов’язаних із дією акта – прямих надходжень до державного бюджету не передбачається.</w:t>
      </w:r>
    </w:p>
    <w:p w:rsidR="00386BA3" w:rsidRPr="00386BA3" w:rsidRDefault="00386BA3" w:rsidP="00331B4A">
      <w:pPr>
        <w:ind w:firstLine="708"/>
        <w:jc w:val="both"/>
        <w:rPr>
          <w:sz w:val="28"/>
          <w:szCs w:val="28"/>
          <w:lang w:val="ru-RU"/>
        </w:rPr>
      </w:pPr>
      <w:r w:rsidRPr="00386BA3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uk-UA"/>
        </w:rPr>
        <w:t xml:space="preserve">Дія акта поширюється на </w:t>
      </w:r>
      <w:r w:rsidRPr="00386BA3">
        <w:rPr>
          <w:sz w:val="28"/>
          <w:szCs w:val="28"/>
          <w:lang w:val="ru-RU"/>
        </w:rPr>
        <w:t>суб’єкт</w:t>
      </w:r>
      <w:r>
        <w:rPr>
          <w:sz w:val="28"/>
          <w:szCs w:val="28"/>
          <w:lang w:val="uk-UA"/>
        </w:rPr>
        <w:t>и</w:t>
      </w:r>
      <w:r w:rsidRPr="00386BA3">
        <w:rPr>
          <w:sz w:val="28"/>
          <w:szCs w:val="28"/>
          <w:lang w:val="ru-RU"/>
        </w:rPr>
        <w:t xml:space="preserve"> господарювання діяльність яких пов</w:t>
      </w:r>
      <w:r w:rsidR="00211CB3">
        <w:rPr>
          <w:sz w:val="28"/>
          <w:szCs w:val="28"/>
          <w:lang w:val="ru-RU"/>
        </w:rPr>
        <w:t>’язана</w:t>
      </w:r>
      <w:r w:rsidRPr="00386BA3">
        <w:rPr>
          <w:sz w:val="28"/>
          <w:szCs w:val="28"/>
          <w:lang w:val="ru-RU"/>
        </w:rPr>
        <w:t xml:space="preserve"> виробництвом</w:t>
      </w:r>
      <w:r>
        <w:rPr>
          <w:sz w:val="28"/>
          <w:szCs w:val="28"/>
          <w:lang w:val="ru-RU"/>
        </w:rPr>
        <w:t xml:space="preserve"> </w:t>
      </w:r>
      <w:r w:rsidRPr="00386BA3">
        <w:rPr>
          <w:sz w:val="28"/>
          <w:szCs w:val="28"/>
          <w:lang w:val="ru-RU"/>
        </w:rPr>
        <w:t xml:space="preserve">та обігом </w:t>
      </w:r>
      <w:r w:rsidR="0069256E">
        <w:rPr>
          <w:sz w:val="28"/>
          <w:szCs w:val="28"/>
          <w:lang w:val="ru-RU"/>
        </w:rPr>
        <w:t>кормів</w:t>
      </w:r>
      <w:r w:rsidRPr="00386BA3">
        <w:rPr>
          <w:sz w:val="28"/>
          <w:szCs w:val="28"/>
          <w:lang w:val="ru-RU"/>
        </w:rPr>
        <w:t>.</w:t>
      </w:r>
    </w:p>
    <w:p w:rsidR="00386BA3" w:rsidRPr="00050A95" w:rsidRDefault="00386BA3" w:rsidP="00331B4A">
      <w:pPr>
        <w:ind w:firstLine="708"/>
        <w:jc w:val="both"/>
        <w:rPr>
          <w:sz w:val="28"/>
          <w:szCs w:val="28"/>
          <w:lang w:val="ru-RU"/>
        </w:rPr>
      </w:pPr>
      <w:r w:rsidRPr="00050A95">
        <w:rPr>
          <w:sz w:val="28"/>
          <w:szCs w:val="28"/>
          <w:lang w:val="ru-RU"/>
        </w:rPr>
        <w:t xml:space="preserve">3. Рівень поінформованості суб’єктів господарювання та/або фізичних </w:t>
      </w:r>
      <w:r w:rsidRPr="00050A95">
        <w:rPr>
          <w:sz w:val="28"/>
          <w:szCs w:val="28"/>
          <w:lang w:val="ru-RU"/>
        </w:rPr>
        <w:lastRenderedPageBreak/>
        <w:t>осіб з основних положень регуляторного акта – високий, оскільки пов</w:t>
      </w:r>
      <w:r w:rsidR="004E2489">
        <w:rPr>
          <w:sz w:val="28"/>
          <w:szCs w:val="28"/>
          <w:lang w:val="ru-RU"/>
        </w:rPr>
        <w:t>ідомлення про оприлюднення, проє</w:t>
      </w:r>
      <w:r w:rsidRPr="00050A95">
        <w:rPr>
          <w:sz w:val="28"/>
          <w:szCs w:val="28"/>
          <w:lang w:val="ru-RU"/>
        </w:rPr>
        <w:t>кт</w:t>
      </w:r>
      <w:r w:rsidR="004E2489">
        <w:rPr>
          <w:sz w:val="28"/>
          <w:szCs w:val="28"/>
          <w:lang w:val="ru-RU"/>
        </w:rPr>
        <w:t>у</w:t>
      </w:r>
      <w:r w:rsidRPr="00050A95">
        <w:rPr>
          <w:sz w:val="28"/>
          <w:szCs w:val="28"/>
          <w:lang w:val="ru-RU"/>
        </w:rPr>
        <w:t xml:space="preserve"> наказу та аналіз регуляторного впливу акта розміщено на оф</w:t>
      </w:r>
      <w:r w:rsidR="004E2489">
        <w:rPr>
          <w:sz w:val="28"/>
          <w:szCs w:val="28"/>
          <w:lang w:val="ru-RU"/>
        </w:rPr>
        <w:t>іційному веб</w:t>
      </w:r>
      <w:r w:rsidRPr="00050A95">
        <w:rPr>
          <w:sz w:val="28"/>
          <w:szCs w:val="28"/>
          <w:lang w:val="ru-RU"/>
        </w:rPr>
        <w:t>сайті</w:t>
      </w:r>
      <w:r w:rsidRPr="00050A95">
        <w:rPr>
          <w:color w:val="494949"/>
          <w:sz w:val="28"/>
          <w:szCs w:val="28"/>
          <w:lang w:val="ru-RU"/>
        </w:rPr>
        <w:t xml:space="preserve"> </w:t>
      </w:r>
      <w:r w:rsidRPr="00050A95">
        <w:rPr>
          <w:sz w:val="28"/>
          <w:szCs w:val="28"/>
          <w:lang w:val="ru-RU"/>
        </w:rPr>
        <w:t xml:space="preserve">Міністерства </w:t>
      </w:r>
      <w:r w:rsidR="00E65D89">
        <w:rPr>
          <w:sz w:val="28"/>
          <w:szCs w:val="28"/>
          <w:lang w:val="ru-RU"/>
        </w:rPr>
        <w:t>розвитку економіки, торгівлі та сільського господарства</w:t>
      </w:r>
      <w:r w:rsidRPr="00050A95">
        <w:rPr>
          <w:sz w:val="28"/>
          <w:szCs w:val="28"/>
          <w:lang w:val="ru-RU"/>
        </w:rPr>
        <w:t xml:space="preserve"> України (</w:t>
      </w:r>
      <w:hyperlink r:id="rId10" w:history="1">
        <w:r w:rsidR="00347A43" w:rsidRPr="00347A43">
          <w:rPr>
            <w:rStyle w:val="af2"/>
            <w:color w:val="auto"/>
            <w:sz w:val="28"/>
            <w:szCs w:val="28"/>
            <w:u w:val="none"/>
          </w:rPr>
          <w:t>www</w:t>
        </w:r>
        <w:r w:rsidR="00347A43" w:rsidRPr="00347A43">
          <w:rPr>
            <w:rStyle w:val="af2"/>
            <w:color w:val="auto"/>
            <w:sz w:val="28"/>
            <w:szCs w:val="28"/>
            <w:u w:val="none"/>
            <w:lang w:val="ru-RU"/>
          </w:rPr>
          <w:t>.</w:t>
        </w:r>
        <w:r w:rsidR="00347A43" w:rsidRPr="00347A43">
          <w:rPr>
            <w:rStyle w:val="af2"/>
            <w:color w:val="auto"/>
            <w:sz w:val="28"/>
            <w:szCs w:val="28"/>
            <w:u w:val="none"/>
          </w:rPr>
          <w:t>me</w:t>
        </w:r>
        <w:r w:rsidR="00347A43" w:rsidRPr="00347A43">
          <w:rPr>
            <w:rStyle w:val="af2"/>
            <w:color w:val="auto"/>
            <w:sz w:val="28"/>
            <w:szCs w:val="28"/>
            <w:u w:val="none"/>
            <w:lang w:val="ru-RU"/>
          </w:rPr>
          <w:t>.</w:t>
        </w:r>
        <w:r w:rsidR="00347A43" w:rsidRPr="00347A43">
          <w:rPr>
            <w:rStyle w:val="af2"/>
            <w:color w:val="auto"/>
            <w:sz w:val="28"/>
            <w:szCs w:val="28"/>
            <w:u w:val="none"/>
          </w:rPr>
          <w:t>gov</w:t>
        </w:r>
        <w:r w:rsidR="00347A43" w:rsidRPr="00347A43">
          <w:rPr>
            <w:rStyle w:val="af2"/>
            <w:color w:val="auto"/>
            <w:sz w:val="28"/>
            <w:szCs w:val="28"/>
            <w:u w:val="none"/>
            <w:lang w:val="ru-RU"/>
          </w:rPr>
          <w:t>.</w:t>
        </w:r>
        <w:r w:rsidR="00347A43" w:rsidRPr="00347A43">
          <w:rPr>
            <w:rStyle w:val="af2"/>
            <w:color w:val="auto"/>
            <w:sz w:val="28"/>
            <w:szCs w:val="28"/>
            <w:u w:val="none"/>
          </w:rPr>
          <w:t>ua</w:t>
        </w:r>
      </w:hyperlink>
      <w:r w:rsidRPr="00050A95">
        <w:rPr>
          <w:sz w:val="28"/>
          <w:szCs w:val="28"/>
          <w:lang w:val="ru-RU"/>
        </w:rPr>
        <w:t>).</w:t>
      </w:r>
    </w:p>
    <w:p w:rsidR="00386BA3" w:rsidRPr="00211CB3" w:rsidRDefault="00386BA3" w:rsidP="00331B4A">
      <w:pPr>
        <w:ind w:firstLine="708"/>
        <w:jc w:val="both"/>
        <w:rPr>
          <w:sz w:val="28"/>
          <w:szCs w:val="28"/>
          <w:lang w:val="uk-UA"/>
        </w:rPr>
      </w:pPr>
      <w:r w:rsidRPr="00386BA3">
        <w:rPr>
          <w:sz w:val="28"/>
          <w:szCs w:val="28"/>
          <w:lang w:val="ru-RU"/>
        </w:rPr>
        <w:t>4</w:t>
      </w:r>
      <w:r w:rsidRPr="00211CB3">
        <w:rPr>
          <w:sz w:val="28"/>
          <w:szCs w:val="28"/>
          <w:lang w:val="ru-RU"/>
        </w:rPr>
        <w:t xml:space="preserve">. Час, що необхідно буде витратити суб’єктам господарювання та/або фізичним особам, для виконання </w:t>
      </w:r>
      <w:r w:rsidR="00A94756" w:rsidRPr="00211CB3">
        <w:rPr>
          <w:sz w:val="28"/>
          <w:szCs w:val="28"/>
          <w:lang w:val="ru-RU"/>
        </w:rPr>
        <w:t>вимог акта – разово орієнтовно 1</w:t>
      </w:r>
      <w:r w:rsidRPr="00211CB3">
        <w:rPr>
          <w:sz w:val="28"/>
          <w:szCs w:val="28"/>
          <w:lang w:val="ru-RU"/>
        </w:rPr>
        <w:t xml:space="preserve"> години для відповідальних працівників на ознайомлення із </w:t>
      </w:r>
      <w:r w:rsidR="007A41B1" w:rsidRPr="00211CB3">
        <w:rPr>
          <w:sz w:val="28"/>
          <w:szCs w:val="28"/>
          <w:lang w:val="ru-RU"/>
        </w:rPr>
        <w:t>наказом</w:t>
      </w:r>
      <w:r w:rsidRPr="00211CB3">
        <w:rPr>
          <w:sz w:val="28"/>
          <w:szCs w:val="28"/>
          <w:lang w:val="ru-RU"/>
        </w:rPr>
        <w:t xml:space="preserve">, а також для </w:t>
      </w:r>
      <w:r w:rsidR="00211CB3" w:rsidRPr="00211CB3">
        <w:rPr>
          <w:sz w:val="28"/>
          <w:szCs w:val="28"/>
          <w:lang w:val="ru-RU"/>
        </w:rPr>
        <w:t>підготовки п</w:t>
      </w:r>
      <w:r w:rsidR="00211CB3" w:rsidRPr="00211CB3">
        <w:rPr>
          <w:sz w:val="28"/>
          <w:szCs w:val="28"/>
          <w:lang w:val="uk-UA"/>
        </w:rPr>
        <w:t xml:space="preserve">овідомлення </w:t>
      </w:r>
      <w:r w:rsidR="00211CB3" w:rsidRPr="00211CB3">
        <w:rPr>
          <w:sz w:val="28"/>
          <w:szCs w:val="28"/>
          <w:lang w:val="ru-RU"/>
        </w:rPr>
        <w:t>з</w:t>
      </w:r>
      <w:r w:rsidR="00211CB3" w:rsidRPr="00211CB3">
        <w:rPr>
          <w:sz w:val="28"/>
          <w:szCs w:val="28"/>
          <w:lang w:val="uk-UA"/>
        </w:rPr>
        <w:t xml:space="preserve"> обґрунтування</w:t>
      </w:r>
      <w:r w:rsidR="00211CB3" w:rsidRPr="00211CB3">
        <w:rPr>
          <w:sz w:val="28"/>
          <w:szCs w:val="28"/>
          <w:lang w:val="ru-RU"/>
        </w:rPr>
        <w:t>м</w:t>
      </w:r>
      <w:r w:rsidR="00211CB3" w:rsidRPr="00211CB3">
        <w:rPr>
          <w:sz w:val="28"/>
          <w:szCs w:val="28"/>
          <w:lang w:val="uk-UA"/>
        </w:rPr>
        <w:t xml:space="preserve"> внесення змін у дійсне реєстраційне посвідчення</w:t>
      </w:r>
      <w:r w:rsidR="00211CB3" w:rsidRPr="00211CB3">
        <w:rPr>
          <w:sz w:val="28"/>
          <w:szCs w:val="28"/>
          <w:lang w:val="ru-RU"/>
        </w:rPr>
        <w:t xml:space="preserve"> орієнтовно до 3</w:t>
      </w:r>
      <w:r w:rsidRPr="00211CB3">
        <w:rPr>
          <w:sz w:val="28"/>
          <w:szCs w:val="28"/>
          <w:lang w:val="ru-RU"/>
        </w:rPr>
        <w:t xml:space="preserve"> годин. Час витрачений в даному випадку має обліковуватись в межах норм часу, що витрачається на виконання безпосередніх фахових обов’язків.</w:t>
      </w:r>
    </w:p>
    <w:p w:rsidR="00386BA3" w:rsidRPr="00043622" w:rsidRDefault="00386BA3" w:rsidP="00331B4A">
      <w:pPr>
        <w:ind w:firstLine="708"/>
        <w:jc w:val="both"/>
        <w:rPr>
          <w:lang w:val="uk-UA"/>
        </w:rPr>
      </w:pPr>
      <w:r w:rsidRPr="00043622">
        <w:rPr>
          <w:sz w:val="28"/>
          <w:szCs w:val="28"/>
          <w:lang w:val="uk-UA"/>
        </w:rPr>
        <w:t>Показниками результативності будуть:</w:t>
      </w:r>
    </w:p>
    <w:p w:rsidR="00386BA3" w:rsidRPr="00043622" w:rsidRDefault="00386BA3" w:rsidP="00331B4A">
      <w:pPr>
        <w:ind w:firstLine="708"/>
        <w:jc w:val="both"/>
        <w:rPr>
          <w:lang w:val="uk-UA"/>
        </w:rPr>
      </w:pPr>
      <w:r w:rsidRPr="00043622">
        <w:rPr>
          <w:sz w:val="28"/>
          <w:szCs w:val="28"/>
          <w:lang w:val="uk-UA"/>
        </w:rPr>
        <w:t xml:space="preserve">стабільна чисельність та/або збільшення кількості суб’єктів господарювання, що діятимуть на ринку </w:t>
      </w:r>
      <w:r w:rsidR="00A6265D">
        <w:rPr>
          <w:sz w:val="28"/>
          <w:szCs w:val="28"/>
          <w:lang w:val="uk-UA"/>
        </w:rPr>
        <w:t>кормів</w:t>
      </w:r>
      <w:r w:rsidR="007A41B1">
        <w:rPr>
          <w:sz w:val="28"/>
          <w:szCs w:val="28"/>
          <w:lang w:val="uk-UA"/>
        </w:rPr>
        <w:t>;</w:t>
      </w:r>
    </w:p>
    <w:p w:rsidR="009C7F05" w:rsidRDefault="00386BA3" w:rsidP="00331B4A">
      <w:pPr>
        <w:ind w:firstLine="708"/>
        <w:jc w:val="both"/>
        <w:rPr>
          <w:sz w:val="28"/>
          <w:szCs w:val="28"/>
          <w:lang w:val="uk-UA"/>
        </w:rPr>
      </w:pPr>
      <w:r w:rsidRPr="00043622">
        <w:rPr>
          <w:sz w:val="28"/>
          <w:szCs w:val="28"/>
          <w:lang w:val="uk-UA"/>
        </w:rPr>
        <w:t xml:space="preserve">збільшення </w:t>
      </w:r>
      <w:r w:rsidR="009C7F05">
        <w:rPr>
          <w:sz w:val="28"/>
          <w:szCs w:val="28"/>
          <w:lang w:val="uk-UA"/>
        </w:rPr>
        <w:t>кількості зареєстрованих кормів на ринку.</w:t>
      </w:r>
    </w:p>
    <w:p w:rsidR="007F1A82" w:rsidRPr="00A012E5" w:rsidRDefault="007F1A82" w:rsidP="00331B4A">
      <w:pPr>
        <w:ind w:firstLine="700"/>
        <w:jc w:val="both"/>
        <w:rPr>
          <w:sz w:val="28"/>
          <w:szCs w:val="28"/>
          <w:lang w:val="uk-UA"/>
        </w:rPr>
      </w:pPr>
    </w:p>
    <w:p w:rsidR="007F1A82" w:rsidRDefault="000F42AA" w:rsidP="007F1A82">
      <w:pPr>
        <w:pStyle w:val="10"/>
        <w:widowControl/>
        <w:ind w:left="-6" w:firstLine="715"/>
        <w:jc w:val="both"/>
        <w:rPr>
          <w:b/>
          <w:sz w:val="28"/>
          <w:szCs w:val="28"/>
          <w:lang w:val="ru-RU"/>
        </w:rPr>
      </w:pPr>
      <w:r w:rsidRPr="000F42AA">
        <w:rPr>
          <w:b/>
          <w:sz w:val="28"/>
          <w:szCs w:val="28"/>
        </w:rPr>
        <w:t>IX</w:t>
      </w:r>
      <w:r w:rsidRPr="000F42AA">
        <w:rPr>
          <w:b/>
          <w:sz w:val="28"/>
          <w:szCs w:val="28"/>
          <w:lang w:val="ru-RU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:rsidR="00D33894" w:rsidRPr="007F1A82" w:rsidRDefault="00D33894" w:rsidP="007F1A82">
      <w:pPr>
        <w:pStyle w:val="10"/>
        <w:widowControl/>
        <w:ind w:left="-6" w:firstLine="715"/>
        <w:jc w:val="both"/>
        <w:rPr>
          <w:b/>
          <w:sz w:val="28"/>
          <w:szCs w:val="28"/>
          <w:lang w:val="ru-RU"/>
        </w:rPr>
      </w:pPr>
    </w:p>
    <w:p w:rsidR="000F42AA" w:rsidRPr="000F42AA" w:rsidRDefault="000F42AA" w:rsidP="00331B4A">
      <w:pPr>
        <w:pStyle w:val="10"/>
        <w:widowControl/>
        <w:ind w:left="-6" w:firstLine="715"/>
        <w:jc w:val="both"/>
        <w:rPr>
          <w:sz w:val="28"/>
          <w:szCs w:val="28"/>
          <w:lang w:val="ru-RU"/>
        </w:rPr>
      </w:pPr>
      <w:r w:rsidRPr="000F42AA">
        <w:rPr>
          <w:sz w:val="28"/>
          <w:szCs w:val="28"/>
          <w:lang w:val="ru-RU"/>
        </w:rPr>
        <w:t xml:space="preserve">Відстеження результативності регуляторного акта буде здійснюватися </w:t>
      </w:r>
      <w:r>
        <w:rPr>
          <w:sz w:val="28"/>
          <w:szCs w:val="28"/>
          <w:lang w:val="ru-RU"/>
        </w:rPr>
        <w:t>Державною службою</w:t>
      </w:r>
      <w:r w:rsidRPr="000F42AA">
        <w:rPr>
          <w:sz w:val="28"/>
          <w:szCs w:val="28"/>
          <w:lang w:val="ru-RU"/>
        </w:rPr>
        <w:t xml:space="preserve"> України з питань безпечності харчових продуктів та захисту споживачів.</w:t>
      </w:r>
    </w:p>
    <w:p w:rsidR="000F42AA" w:rsidRPr="000F42AA" w:rsidRDefault="000F42AA" w:rsidP="00347A43">
      <w:pPr>
        <w:pStyle w:val="10"/>
        <w:widowControl/>
        <w:ind w:left="-6" w:firstLine="715"/>
        <w:jc w:val="both"/>
        <w:rPr>
          <w:sz w:val="28"/>
          <w:szCs w:val="28"/>
          <w:lang w:val="ru-RU"/>
        </w:rPr>
      </w:pPr>
      <w:r w:rsidRPr="000F42AA">
        <w:rPr>
          <w:sz w:val="28"/>
          <w:szCs w:val="28"/>
          <w:lang w:val="ru-RU"/>
        </w:rPr>
        <w:t>Базове відстеження результативності зазначеного регуляторного акту буде здійснюватися до набрання чинності шляхом збору пропозицій і зауважень та їх аналізу.</w:t>
      </w:r>
    </w:p>
    <w:p w:rsidR="000F42AA" w:rsidRPr="000F42AA" w:rsidRDefault="000F42AA" w:rsidP="00331B4A">
      <w:pPr>
        <w:pStyle w:val="10"/>
        <w:widowControl/>
        <w:ind w:left="-6" w:firstLine="715"/>
        <w:jc w:val="both"/>
        <w:rPr>
          <w:sz w:val="28"/>
          <w:szCs w:val="28"/>
          <w:lang w:val="ru-RU"/>
        </w:rPr>
      </w:pPr>
      <w:r w:rsidRPr="000F42AA">
        <w:rPr>
          <w:sz w:val="28"/>
          <w:szCs w:val="28"/>
          <w:lang w:val="ru-RU"/>
        </w:rPr>
        <w:t>Повторне відстеження результативності буде здійснене через рік після набрання ним чинності шляхом аналізу статистичних даних.</w:t>
      </w:r>
    </w:p>
    <w:p w:rsidR="000F42AA" w:rsidRPr="000F42AA" w:rsidRDefault="000F42AA" w:rsidP="00331B4A">
      <w:pPr>
        <w:pStyle w:val="10"/>
        <w:widowControl/>
        <w:ind w:left="-6" w:firstLine="715"/>
        <w:jc w:val="both"/>
        <w:rPr>
          <w:sz w:val="28"/>
          <w:szCs w:val="28"/>
          <w:lang w:val="ru-RU"/>
        </w:rPr>
      </w:pPr>
      <w:r w:rsidRPr="000F42AA">
        <w:rPr>
          <w:sz w:val="28"/>
          <w:szCs w:val="28"/>
          <w:lang w:val="ru-RU"/>
        </w:rPr>
        <w:t>Періодичне відстеження результативності буде здійснюватися шляхом аналізу статистичних даних щорічно, починаючи з дня закінчення заходів з повторного відстеження результатів виконання Вимог.</w:t>
      </w:r>
    </w:p>
    <w:p w:rsidR="000F42AA" w:rsidRPr="000F42AA" w:rsidRDefault="000F42AA" w:rsidP="00331B4A">
      <w:pPr>
        <w:pStyle w:val="10"/>
        <w:widowControl/>
        <w:ind w:left="-6" w:firstLine="715"/>
        <w:jc w:val="both"/>
        <w:rPr>
          <w:sz w:val="28"/>
          <w:szCs w:val="28"/>
          <w:lang w:val="ru-RU"/>
        </w:rPr>
      </w:pPr>
      <w:r w:rsidRPr="000F42AA">
        <w:rPr>
          <w:sz w:val="28"/>
          <w:szCs w:val="28"/>
          <w:lang w:val="ru-RU"/>
        </w:rPr>
        <w:t>Метод проведення відстеження результативності – статистичний.</w:t>
      </w:r>
    </w:p>
    <w:p w:rsidR="00F410E4" w:rsidRPr="00112C0D" w:rsidRDefault="000F42AA" w:rsidP="00331B4A">
      <w:pPr>
        <w:pStyle w:val="10"/>
        <w:widowControl/>
        <w:ind w:left="-6" w:firstLine="715"/>
        <w:jc w:val="both"/>
        <w:rPr>
          <w:lang w:val="ru-RU"/>
        </w:rPr>
      </w:pPr>
      <w:r w:rsidRPr="000F42AA">
        <w:rPr>
          <w:sz w:val="28"/>
          <w:szCs w:val="28"/>
          <w:lang w:val="ru-RU"/>
        </w:rPr>
        <w:t xml:space="preserve">Вид даних, за допомогою яких здійснюватиметься відстеження результативності – статистичні. </w:t>
      </w:r>
      <w:r w:rsidR="00F410E4" w:rsidRPr="000F42AA">
        <w:rPr>
          <w:sz w:val="28"/>
          <w:szCs w:val="28"/>
          <w:highlight w:val="white"/>
          <w:lang w:val="ru-RU"/>
        </w:rPr>
        <w:t>Базове відстеження результативності зазначеного регуляторного акта буде</w:t>
      </w:r>
      <w:r w:rsidR="00F410E4" w:rsidRPr="00112C0D">
        <w:rPr>
          <w:sz w:val="28"/>
          <w:szCs w:val="28"/>
          <w:highlight w:val="white"/>
          <w:lang w:val="ru-RU"/>
        </w:rPr>
        <w:t xml:space="preserve"> здійснюватися до набрання ним чинності шляхом збору пропозицій і зауважень та їх аналізу.</w:t>
      </w:r>
    </w:p>
    <w:p w:rsidR="00F410E4" w:rsidRPr="00112C0D" w:rsidRDefault="00F410E4" w:rsidP="00331B4A">
      <w:pPr>
        <w:pStyle w:val="10"/>
        <w:widowControl/>
        <w:ind w:left="-6" w:firstLine="715"/>
        <w:jc w:val="both"/>
        <w:rPr>
          <w:lang w:val="ru-RU"/>
        </w:rPr>
      </w:pPr>
      <w:r w:rsidRPr="00112C0D">
        <w:rPr>
          <w:sz w:val="28"/>
          <w:szCs w:val="28"/>
          <w:highlight w:val="white"/>
          <w:lang w:val="ru-RU"/>
        </w:rPr>
        <w:t>Повторне відстеження результативності буде здійснене через рік після набрання ним чиннос</w:t>
      </w:r>
      <w:r w:rsidR="000F42AA">
        <w:rPr>
          <w:sz w:val="28"/>
          <w:szCs w:val="28"/>
          <w:highlight w:val="white"/>
          <w:lang w:val="ru-RU"/>
        </w:rPr>
        <w:t xml:space="preserve">ті шляхом аналізу статистичних </w:t>
      </w:r>
      <w:r w:rsidRPr="00112C0D">
        <w:rPr>
          <w:sz w:val="28"/>
          <w:szCs w:val="28"/>
          <w:highlight w:val="white"/>
          <w:lang w:val="ru-RU"/>
        </w:rPr>
        <w:t>даних.</w:t>
      </w:r>
    </w:p>
    <w:p w:rsidR="00F410E4" w:rsidRDefault="00F410E4" w:rsidP="00331B4A">
      <w:pPr>
        <w:pStyle w:val="10"/>
        <w:widowControl/>
        <w:ind w:left="-6" w:firstLine="715"/>
        <w:jc w:val="both"/>
        <w:rPr>
          <w:lang w:val="ru-RU"/>
        </w:rPr>
      </w:pPr>
      <w:r w:rsidRPr="00112C0D">
        <w:rPr>
          <w:sz w:val="28"/>
          <w:szCs w:val="28"/>
          <w:highlight w:val="white"/>
          <w:lang w:val="ru-RU"/>
        </w:rPr>
        <w:t xml:space="preserve">Періодичне відстеження результативності буде здійснюватися шляхом аналізу статистичних даних щорічно, починаючи з дня закінчення заходів з повторного відстеження результатів виконання </w:t>
      </w:r>
      <w:r w:rsidR="00855AB9">
        <w:rPr>
          <w:sz w:val="28"/>
          <w:szCs w:val="28"/>
          <w:highlight w:val="white"/>
          <w:lang w:val="ru-RU"/>
        </w:rPr>
        <w:t>регуляторного акта</w:t>
      </w:r>
      <w:r w:rsidRPr="00112C0D">
        <w:rPr>
          <w:sz w:val="28"/>
          <w:szCs w:val="28"/>
          <w:highlight w:val="white"/>
          <w:lang w:val="ru-RU"/>
        </w:rPr>
        <w:t>.</w:t>
      </w:r>
    </w:p>
    <w:p w:rsidR="00F410E4" w:rsidRPr="004F27DC" w:rsidRDefault="00F410E4" w:rsidP="00331B4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4F27DC">
        <w:rPr>
          <w:color w:val="auto"/>
          <w:sz w:val="28"/>
          <w:szCs w:val="28"/>
          <w:lang w:val="ru-RU"/>
        </w:rPr>
        <w:t>Метод проведення відстеження результативності – статистичний.</w:t>
      </w:r>
    </w:p>
    <w:p w:rsidR="00F410E4" w:rsidRPr="004F27DC" w:rsidRDefault="00F410E4" w:rsidP="00331B4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4F27DC">
        <w:rPr>
          <w:color w:val="auto"/>
          <w:sz w:val="28"/>
          <w:szCs w:val="28"/>
          <w:lang w:val="ru-RU"/>
        </w:rPr>
        <w:t xml:space="preserve">Вид даних, за допомогою яких здійснюватиметься відстеження </w:t>
      </w:r>
      <w:r w:rsidRPr="004F27DC">
        <w:rPr>
          <w:color w:val="auto"/>
          <w:sz w:val="28"/>
          <w:szCs w:val="28"/>
          <w:lang w:val="ru-RU"/>
        </w:rPr>
        <w:lastRenderedPageBreak/>
        <w:t>результативності – статистичні.</w:t>
      </w:r>
    </w:p>
    <w:p w:rsidR="00F410E4" w:rsidRDefault="00F410E4" w:rsidP="00331B4A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4F27DC">
        <w:rPr>
          <w:color w:val="auto"/>
          <w:sz w:val="28"/>
          <w:szCs w:val="28"/>
          <w:lang w:val="ru-RU"/>
        </w:rPr>
        <w:t>Д</w:t>
      </w:r>
      <w:r>
        <w:rPr>
          <w:color w:val="auto"/>
          <w:sz w:val="28"/>
          <w:szCs w:val="28"/>
          <w:lang w:val="ru-RU"/>
        </w:rPr>
        <w:t>ля відстеження результативності</w:t>
      </w:r>
      <w:r w:rsidRPr="004F27DC">
        <w:rPr>
          <w:color w:val="auto"/>
          <w:sz w:val="28"/>
          <w:szCs w:val="28"/>
          <w:lang w:val="ru-RU"/>
        </w:rPr>
        <w:t xml:space="preserve"> будуть використовуватися дані, отримані за результатами перевірок, проведених структурними підрозділами Держпродспоживслужби та її територіальними органами.</w:t>
      </w:r>
    </w:p>
    <w:p w:rsidR="002B7626" w:rsidRDefault="002B7626" w:rsidP="007641D7">
      <w:pPr>
        <w:jc w:val="both"/>
        <w:rPr>
          <w:color w:val="auto"/>
          <w:sz w:val="24"/>
          <w:szCs w:val="24"/>
          <w:lang w:val="ru-RU"/>
        </w:rPr>
      </w:pPr>
    </w:p>
    <w:p w:rsidR="00A012E5" w:rsidRPr="00013ACE" w:rsidRDefault="00A012E5" w:rsidP="007641D7">
      <w:pPr>
        <w:jc w:val="both"/>
        <w:rPr>
          <w:color w:val="auto"/>
          <w:sz w:val="24"/>
          <w:szCs w:val="24"/>
          <w:lang w:val="ru-RU"/>
        </w:rPr>
      </w:pPr>
    </w:p>
    <w:p w:rsidR="004F6DEB" w:rsidRPr="001F4A0B" w:rsidRDefault="004F6DEB" w:rsidP="00331B4A">
      <w:pPr>
        <w:pStyle w:val="10"/>
        <w:tabs>
          <w:tab w:val="left" w:pos="3600"/>
        </w:tabs>
        <w:rPr>
          <w:b/>
          <w:lang w:val="ru-RU"/>
        </w:rPr>
      </w:pPr>
    </w:p>
    <w:p w:rsidR="008569C3" w:rsidRDefault="007641D7" w:rsidP="007641D7">
      <w:pPr>
        <w:rPr>
          <w:b/>
          <w:sz w:val="28"/>
          <w:szCs w:val="28"/>
          <w:lang w:val="ru-RU"/>
        </w:rPr>
      </w:pPr>
      <w:r w:rsidRPr="007641D7">
        <w:rPr>
          <w:b/>
          <w:sz w:val="28"/>
          <w:szCs w:val="28"/>
          <w:lang w:val="ru-RU"/>
        </w:rPr>
        <w:t xml:space="preserve">Міністр </w:t>
      </w:r>
    </w:p>
    <w:p w:rsidR="007641D7" w:rsidRPr="007641D7" w:rsidRDefault="007641D7" w:rsidP="007641D7">
      <w:pPr>
        <w:rPr>
          <w:b/>
          <w:color w:val="auto"/>
          <w:sz w:val="28"/>
          <w:szCs w:val="28"/>
          <w:lang w:val="ru-RU"/>
        </w:rPr>
      </w:pPr>
      <w:r w:rsidRPr="007641D7">
        <w:rPr>
          <w:b/>
          <w:sz w:val="28"/>
          <w:szCs w:val="28"/>
          <w:lang w:val="ru-RU"/>
        </w:rPr>
        <w:t xml:space="preserve">розвитку економіки, торгівлі </w:t>
      </w:r>
    </w:p>
    <w:p w:rsidR="007641D7" w:rsidRPr="007641D7" w:rsidRDefault="007641D7" w:rsidP="007641D7">
      <w:pPr>
        <w:rPr>
          <w:b/>
          <w:sz w:val="28"/>
          <w:szCs w:val="28"/>
          <w:lang w:val="ru-RU"/>
        </w:rPr>
      </w:pPr>
      <w:r w:rsidRPr="007641D7">
        <w:rPr>
          <w:b/>
          <w:sz w:val="28"/>
          <w:szCs w:val="28"/>
          <w:lang w:val="ru-RU"/>
        </w:rPr>
        <w:t xml:space="preserve">та сільського господарства України                   </w:t>
      </w:r>
      <w:r>
        <w:rPr>
          <w:b/>
          <w:sz w:val="28"/>
          <w:szCs w:val="28"/>
          <w:lang w:val="uk-UA"/>
        </w:rPr>
        <w:t xml:space="preserve">    </w:t>
      </w:r>
      <w:r w:rsidR="008569C3">
        <w:rPr>
          <w:b/>
          <w:sz w:val="28"/>
          <w:szCs w:val="28"/>
          <w:lang w:val="ru-RU"/>
        </w:rPr>
        <w:t xml:space="preserve">            Ігор ПЕТРАШКО</w:t>
      </w:r>
    </w:p>
    <w:p w:rsidR="001E7C9C" w:rsidRDefault="001E7C9C" w:rsidP="00331B4A">
      <w:pPr>
        <w:pStyle w:val="10"/>
        <w:tabs>
          <w:tab w:val="left" w:pos="3600"/>
        </w:tabs>
        <w:rPr>
          <w:b/>
          <w:sz w:val="28"/>
          <w:szCs w:val="28"/>
          <w:lang w:val="uk-UA"/>
        </w:rPr>
      </w:pPr>
    </w:p>
    <w:p w:rsidR="001E7C9C" w:rsidRPr="004E66BC" w:rsidRDefault="001E7C9C" w:rsidP="00331B4A">
      <w:pPr>
        <w:pStyle w:val="10"/>
        <w:tabs>
          <w:tab w:val="left" w:pos="3600"/>
        </w:tabs>
        <w:rPr>
          <w:lang w:val="ru-RU"/>
        </w:rPr>
      </w:pPr>
    </w:p>
    <w:p w:rsidR="0060040F" w:rsidRPr="0060040F" w:rsidRDefault="000A394E" w:rsidP="00331B4A">
      <w:pPr>
        <w:pStyle w:val="10"/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__</w:t>
      </w:r>
      <w:r w:rsidR="008569C3">
        <w:rPr>
          <w:sz w:val="28"/>
          <w:szCs w:val="28"/>
          <w:lang w:val="ru-RU"/>
        </w:rPr>
        <w:t>__ ____________ 2021</w:t>
      </w:r>
      <w:r w:rsidR="0060040F">
        <w:rPr>
          <w:sz w:val="28"/>
          <w:szCs w:val="28"/>
          <w:lang w:val="ru-RU"/>
        </w:rPr>
        <w:t xml:space="preserve"> рок</w:t>
      </w:r>
      <w:r w:rsidR="0060040F">
        <w:rPr>
          <w:sz w:val="28"/>
          <w:szCs w:val="28"/>
          <w:lang w:val="uk-UA"/>
        </w:rPr>
        <w:t>у</w:t>
      </w:r>
    </w:p>
    <w:p w:rsidR="0060040F" w:rsidRDefault="0060040F" w:rsidP="00331B4A">
      <w:pPr>
        <w:pStyle w:val="10"/>
        <w:tabs>
          <w:tab w:val="left" w:pos="3600"/>
        </w:tabs>
        <w:rPr>
          <w:sz w:val="28"/>
          <w:szCs w:val="28"/>
          <w:lang w:val="ru-RU"/>
        </w:rPr>
        <w:sectPr w:rsidR="0060040F" w:rsidSect="008569C3">
          <w:headerReference w:type="default" r:id="rId11"/>
          <w:pgSz w:w="11906" w:h="16838"/>
          <w:pgMar w:top="1134" w:right="851" w:bottom="1985" w:left="1701" w:header="0" w:footer="720" w:gutter="0"/>
          <w:pgNumType w:start="1"/>
          <w:cols w:space="720"/>
          <w:titlePg/>
          <w:docGrid w:linePitch="272"/>
        </w:sectPr>
      </w:pPr>
    </w:p>
    <w:p w:rsidR="00327A17" w:rsidRPr="00634C48" w:rsidRDefault="00327A17" w:rsidP="00327A17">
      <w:pPr>
        <w:spacing w:before="100" w:beforeAutospacing="1" w:after="100" w:afterAutospacing="1"/>
        <w:jc w:val="right"/>
        <w:rPr>
          <w:sz w:val="24"/>
          <w:szCs w:val="24"/>
          <w:lang w:val="uk-UA" w:eastAsia="ru-RU"/>
        </w:rPr>
      </w:pPr>
      <w:r w:rsidRPr="00634C48">
        <w:rPr>
          <w:sz w:val="24"/>
          <w:szCs w:val="24"/>
          <w:lang w:val="uk-UA" w:eastAsia="ru-RU"/>
        </w:rPr>
        <w:lastRenderedPageBreak/>
        <w:t>Додаток 4</w:t>
      </w:r>
    </w:p>
    <w:p w:rsidR="00327A17" w:rsidRPr="00634C48" w:rsidRDefault="00327A17" w:rsidP="00327A17">
      <w:pPr>
        <w:rPr>
          <w:b/>
          <w:sz w:val="28"/>
          <w:szCs w:val="28"/>
          <w:lang w:val="uk-UA" w:eastAsia="ru-RU"/>
        </w:rPr>
      </w:pPr>
    </w:p>
    <w:p w:rsidR="00327A17" w:rsidRPr="00634C48" w:rsidRDefault="00327A17" w:rsidP="00327A17">
      <w:pPr>
        <w:jc w:val="center"/>
        <w:rPr>
          <w:b/>
          <w:sz w:val="28"/>
          <w:szCs w:val="28"/>
          <w:lang w:val="uk-UA" w:eastAsia="ru-RU"/>
        </w:rPr>
      </w:pPr>
      <w:r w:rsidRPr="00634C48">
        <w:rPr>
          <w:b/>
          <w:sz w:val="28"/>
          <w:szCs w:val="28"/>
          <w:lang w:val="uk-UA" w:eastAsia="ru-RU"/>
        </w:rPr>
        <w:t>ТЕСТ</w:t>
      </w:r>
    </w:p>
    <w:p w:rsidR="00327A17" w:rsidRPr="00634C48" w:rsidRDefault="00327A17" w:rsidP="00327A17">
      <w:pPr>
        <w:jc w:val="center"/>
        <w:rPr>
          <w:b/>
          <w:sz w:val="28"/>
          <w:szCs w:val="28"/>
          <w:lang w:val="uk-UA" w:eastAsia="ru-RU"/>
        </w:rPr>
      </w:pPr>
      <w:r w:rsidRPr="00634C48">
        <w:rPr>
          <w:b/>
          <w:sz w:val="28"/>
          <w:szCs w:val="28"/>
          <w:lang w:val="uk-UA" w:eastAsia="ru-RU"/>
        </w:rPr>
        <w:t>малого підприємництва (М-Тест)</w:t>
      </w:r>
    </w:p>
    <w:p w:rsidR="00327A17" w:rsidRPr="00634C48" w:rsidRDefault="00327A17" w:rsidP="00327A17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ru-RU"/>
        </w:rPr>
      </w:pPr>
      <w:bookmarkStart w:id="2" w:name="n200"/>
      <w:bookmarkEnd w:id="2"/>
      <w:r w:rsidRPr="00634C48">
        <w:rPr>
          <w:sz w:val="28"/>
          <w:szCs w:val="28"/>
          <w:lang w:val="uk-UA" w:eastAsia="ru-RU"/>
        </w:rPr>
        <w:t>1. Консультації з представниками мікро - та малого підприємництва щодо оцінки впливу регулювання</w:t>
      </w:r>
    </w:p>
    <w:p w:rsidR="00327A17" w:rsidRPr="00634C48" w:rsidRDefault="00327A17" w:rsidP="00327A17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ru-RU"/>
        </w:rPr>
      </w:pPr>
      <w:bookmarkStart w:id="3" w:name="n201"/>
      <w:bookmarkEnd w:id="3"/>
      <w:r w:rsidRPr="00634C48">
        <w:rPr>
          <w:sz w:val="28"/>
          <w:szCs w:val="28"/>
          <w:lang w:val="uk-UA"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</w:t>
      </w:r>
      <w:r>
        <w:rPr>
          <w:sz w:val="28"/>
          <w:szCs w:val="28"/>
          <w:lang w:val="uk-UA" w:eastAsia="ru-RU"/>
        </w:rPr>
        <w:t>бником у період з 11січня 2021 р. по 11 лютого 2021</w:t>
      </w:r>
      <w:r w:rsidRPr="00634C48">
        <w:rPr>
          <w:sz w:val="28"/>
          <w:szCs w:val="28"/>
          <w:lang w:val="uk-UA" w:eastAsia="ru-RU"/>
        </w:rPr>
        <w:t xml:space="preserve"> 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86"/>
        <w:gridCol w:w="3328"/>
        <w:gridCol w:w="1648"/>
        <w:gridCol w:w="2882"/>
      </w:tblGrid>
      <w:tr w:rsidR="00327A17" w:rsidRPr="00634C48" w:rsidTr="00F5708E">
        <w:tc>
          <w:tcPr>
            <w:tcW w:w="795" w:type="pct"/>
            <w:vAlign w:val="center"/>
          </w:tcPr>
          <w:p w:rsidR="00327A17" w:rsidRPr="00AB36FD" w:rsidRDefault="00327A17" w:rsidP="0060364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ru-RU"/>
              </w:rPr>
            </w:pPr>
            <w:bookmarkStart w:id="4" w:name="n202"/>
            <w:bookmarkEnd w:id="4"/>
            <w:r w:rsidRPr="00AB36FD">
              <w:rPr>
                <w:sz w:val="24"/>
                <w:szCs w:val="24"/>
                <w:lang w:val="uk-UA" w:eastAsia="ru-RU"/>
              </w:rPr>
              <w:t>Порядковий номер</w:t>
            </w:r>
          </w:p>
        </w:tc>
        <w:tc>
          <w:tcPr>
            <w:tcW w:w="1781" w:type="pct"/>
            <w:vAlign w:val="center"/>
          </w:tcPr>
          <w:p w:rsidR="00327A17" w:rsidRPr="00AB36FD" w:rsidRDefault="00327A17" w:rsidP="0060364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ru-RU"/>
              </w:rPr>
            </w:pPr>
            <w:r w:rsidRPr="00AB36FD">
              <w:rPr>
                <w:sz w:val="24"/>
                <w:szCs w:val="24"/>
                <w:lang w:val="uk-UA"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882" w:type="pct"/>
            <w:vAlign w:val="center"/>
          </w:tcPr>
          <w:p w:rsidR="00327A17" w:rsidRPr="00AB36FD" w:rsidRDefault="00327A17" w:rsidP="006036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B36FD">
              <w:rPr>
                <w:sz w:val="24"/>
                <w:szCs w:val="24"/>
                <w:lang w:val="uk-UA" w:eastAsia="ru-RU"/>
              </w:rPr>
              <w:t>Кількість учасників консультацій, осіб</w:t>
            </w:r>
          </w:p>
        </w:tc>
        <w:tc>
          <w:tcPr>
            <w:tcW w:w="1542" w:type="pct"/>
            <w:vAlign w:val="center"/>
          </w:tcPr>
          <w:p w:rsidR="00327A17" w:rsidRPr="00AB36FD" w:rsidRDefault="00327A17" w:rsidP="006036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B36FD">
              <w:rPr>
                <w:sz w:val="24"/>
                <w:szCs w:val="24"/>
                <w:lang w:val="uk-UA" w:eastAsia="ru-RU"/>
              </w:rPr>
              <w:t>Основні результати консультацій (опис)</w:t>
            </w:r>
          </w:p>
        </w:tc>
      </w:tr>
      <w:tr w:rsidR="00327A17" w:rsidRPr="00024E2E" w:rsidTr="00F5708E">
        <w:tc>
          <w:tcPr>
            <w:tcW w:w="795" w:type="pct"/>
            <w:vAlign w:val="center"/>
          </w:tcPr>
          <w:p w:rsidR="00327A17" w:rsidRPr="00AB36FD" w:rsidRDefault="00327A17" w:rsidP="006036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B36FD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1" w:type="pct"/>
            <w:vAlign w:val="center"/>
          </w:tcPr>
          <w:p w:rsidR="00327A17" w:rsidRPr="00AB36FD" w:rsidRDefault="00327A17" w:rsidP="0060364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ru-RU"/>
              </w:rPr>
            </w:pPr>
            <w:r w:rsidRPr="00AB36FD">
              <w:rPr>
                <w:sz w:val="24"/>
                <w:szCs w:val="24"/>
                <w:lang w:val="uk-UA" w:eastAsia="ru-RU"/>
              </w:rPr>
              <w:t>Проведено 2 інтернет-консультації за участю представників Держпродспоживслужби, Мінекономіки, бізнесасоціацій.</w:t>
            </w:r>
          </w:p>
        </w:tc>
        <w:tc>
          <w:tcPr>
            <w:tcW w:w="882" w:type="pct"/>
            <w:vAlign w:val="center"/>
          </w:tcPr>
          <w:p w:rsidR="00327A17" w:rsidRPr="00AB36FD" w:rsidRDefault="00327A17" w:rsidP="006036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B36FD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42" w:type="pct"/>
            <w:vAlign w:val="center"/>
          </w:tcPr>
          <w:p w:rsidR="00327A17" w:rsidRPr="00AB36FD" w:rsidRDefault="00327A17" w:rsidP="0060364B">
            <w:pPr>
              <w:pStyle w:val="13"/>
              <w:tabs>
                <w:tab w:val="left" w:pos="9639"/>
              </w:tabs>
              <w:spacing w:after="0" w:line="240" w:lineRule="auto"/>
              <w:ind w:left="120" w:right="1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6F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результатами інтернет-консультацій розроблено </w:t>
            </w:r>
            <w:r w:rsidRPr="00AB36FD">
              <w:rPr>
                <w:rFonts w:ascii="Times New Roman" w:hAnsi="Times New Roman"/>
                <w:sz w:val="24"/>
                <w:szCs w:val="24"/>
                <w:lang w:val="uk-UA" w:eastAsia="en-GB"/>
              </w:rPr>
              <w:t>проєкт наказу Міністерства розвитку економіки, торгівлі та сільського господарства України «</w:t>
            </w:r>
            <w:r w:rsidRPr="00AB36F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внесення змін до реєстраційних посвідчень».</w:t>
            </w:r>
          </w:p>
          <w:p w:rsidR="00327A17" w:rsidRPr="00AB36FD" w:rsidRDefault="00327A17" w:rsidP="0060364B">
            <w:pPr>
              <w:ind w:right="114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A5BAF" w:rsidRDefault="00CA5BAF" w:rsidP="00AB36FD">
      <w:pPr>
        <w:ind w:firstLine="709"/>
        <w:jc w:val="both"/>
        <w:rPr>
          <w:sz w:val="28"/>
          <w:szCs w:val="28"/>
          <w:lang w:val="uk-UA" w:eastAsia="ru-RU"/>
        </w:rPr>
      </w:pPr>
      <w:bookmarkStart w:id="5" w:name="n203"/>
      <w:bookmarkEnd w:id="5"/>
    </w:p>
    <w:p w:rsidR="00327A17" w:rsidRPr="00634C48" w:rsidRDefault="00327A17" w:rsidP="00AB36FD">
      <w:pPr>
        <w:ind w:firstLine="709"/>
        <w:jc w:val="both"/>
        <w:rPr>
          <w:sz w:val="28"/>
          <w:szCs w:val="28"/>
          <w:lang w:val="uk-UA" w:eastAsia="ru-RU"/>
        </w:rPr>
      </w:pPr>
      <w:r w:rsidRPr="00634C48">
        <w:rPr>
          <w:sz w:val="28"/>
          <w:szCs w:val="28"/>
          <w:lang w:val="uk-UA" w:eastAsia="ru-RU"/>
        </w:rPr>
        <w:t>2. Вимірювання впливу регулювання на суб’єктів малого підприємництва (мікро - та малі):</w:t>
      </w:r>
    </w:p>
    <w:p w:rsidR="00327A17" w:rsidRPr="00634C48" w:rsidRDefault="00327A17" w:rsidP="00AB36FD">
      <w:pPr>
        <w:ind w:firstLine="709"/>
        <w:jc w:val="both"/>
        <w:rPr>
          <w:sz w:val="28"/>
          <w:szCs w:val="28"/>
          <w:lang w:val="uk-UA" w:eastAsia="ru-RU"/>
        </w:rPr>
      </w:pPr>
      <w:bookmarkStart w:id="6" w:name="n204"/>
      <w:bookmarkEnd w:id="6"/>
      <w:r w:rsidRPr="00634C48">
        <w:rPr>
          <w:sz w:val="28"/>
          <w:szCs w:val="28"/>
          <w:lang w:val="uk-UA" w:eastAsia="ru-RU"/>
        </w:rPr>
        <w:t>кількість суб’єктів, на яких поширюється регулювання: 7 340 (одиниць), у том</w:t>
      </w:r>
      <w:r>
        <w:rPr>
          <w:sz w:val="28"/>
          <w:szCs w:val="28"/>
          <w:lang w:val="uk-UA" w:eastAsia="ru-RU"/>
        </w:rPr>
        <w:t>у числі малого підприємництва 369</w:t>
      </w:r>
      <w:r w:rsidRPr="00634C48">
        <w:rPr>
          <w:sz w:val="28"/>
          <w:szCs w:val="28"/>
          <w:lang w:val="uk-UA" w:eastAsia="ru-RU"/>
        </w:rPr>
        <w:t>0 (одиниць) та мікропідприємництва 3 613 (одиниць);</w:t>
      </w:r>
    </w:p>
    <w:p w:rsidR="00CA5BAF" w:rsidRDefault="00327A17" w:rsidP="0060040F">
      <w:pPr>
        <w:ind w:firstLine="709"/>
        <w:jc w:val="both"/>
        <w:rPr>
          <w:sz w:val="28"/>
          <w:szCs w:val="28"/>
          <w:lang w:val="uk-UA" w:eastAsia="ru-RU"/>
        </w:rPr>
      </w:pPr>
      <w:bookmarkStart w:id="7" w:name="n205"/>
      <w:bookmarkEnd w:id="7"/>
      <w:r w:rsidRPr="00634C48">
        <w:rPr>
          <w:sz w:val="28"/>
          <w:szCs w:val="28"/>
          <w:lang w:val="uk-UA" w:eastAsia="ru-RU"/>
        </w:rPr>
        <w:t>питома вага суб’єктів малого підприємництва у загальній кількості суб’єктів господарювання, на як</w:t>
      </w:r>
      <w:r w:rsidR="00AA4610">
        <w:rPr>
          <w:sz w:val="28"/>
          <w:szCs w:val="28"/>
          <w:lang w:val="uk-UA" w:eastAsia="ru-RU"/>
        </w:rPr>
        <w:t>их проблема справляє вплив 50,2 </w:t>
      </w:r>
      <w:r w:rsidRPr="00634C48">
        <w:rPr>
          <w:sz w:val="28"/>
          <w:szCs w:val="28"/>
          <w:lang w:val="uk-UA" w:eastAsia="ru-RU"/>
        </w:rPr>
        <w:t>% (відсотків).</w:t>
      </w:r>
      <w:bookmarkStart w:id="8" w:name="n206"/>
      <w:bookmarkEnd w:id="8"/>
    </w:p>
    <w:p w:rsidR="00327A17" w:rsidRDefault="00327A17" w:rsidP="00AB36FD">
      <w:pPr>
        <w:ind w:firstLine="709"/>
        <w:jc w:val="both"/>
        <w:rPr>
          <w:sz w:val="28"/>
          <w:szCs w:val="28"/>
          <w:lang w:val="uk-UA" w:eastAsia="ru-RU"/>
        </w:rPr>
      </w:pPr>
      <w:r w:rsidRPr="00634C48">
        <w:rPr>
          <w:sz w:val="28"/>
          <w:szCs w:val="28"/>
          <w:lang w:val="uk-UA" w:eastAsia="ru-RU"/>
        </w:rPr>
        <w:t xml:space="preserve">3. Розрахунок витрат суб’єктів малого підприємництва на виконання </w:t>
      </w:r>
      <w:r w:rsidRPr="00634C48">
        <w:rPr>
          <w:sz w:val="28"/>
          <w:szCs w:val="28"/>
          <w:lang w:val="uk-UA" w:eastAsia="ru-RU"/>
        </w:rPr>
        <w:lastRenderedPageBreak/>
        <w:t>вимог регулювання</w:t>
      </w:r>
      <w:r>
        <w:rPr>
          <w:sz w:val="28"/>
          <w:szCs w:val="28"/>
          <w:lang w:val="uk-UA" w:eastAsia="ru-RU"/>
        </w:rPr>
        <w:t xml:space="preserve"> та о</w:t>
      </w:r>
      <w:r w:rsidRPr="00634C48">
        <w:rPr>
          <w:sz w:val="28"/>
          <w:szCs w:val="28"/>
          <w:lang w:val="uk-UA" w:eastAsia="ru-RU"/>
        </w:rPr>
        <w:t>цінка вартості адміністративних процедур суб’єктів малого підприємництва щодо виконання регулювання та звітування</w:t>
      </w:r>
      <w:r>
        <w:rPr>
          <w:sz w:val="28"/>
          <w:szCs w:val="28"/>
          <w:lang w:val="uk-UA" w:eastAsia="ru-RU"/>
        </w:rPr>
        <w:t>.</w:t>
      </w:r>
    </w:p>
    <w:p w:rsidR="00327A17" w:rsidRDefault="00327A17" w:rsidP="00327A17">
      <w:pPr>
        <w:pStyle w:val="af3"/>
        <w:widowControl w:val="0"/>
        <w:spacing w:before="60" w:beforeAutospacing="0" w:after="0" w:afterAutospacing="0"/>
        <w:jc w:val="center"/>
        <w:rPr>
          <w:sz w:val="28"/>
          <w:szCs w:val="28"/>
        </w:rPr>
      </w:pPr>
      <w:r w:rsidRPr="00461B76">
        <w:rPr>
          <w:sz w:val="28"/>
          <w:szCs w:val="28"/>
        </w:rPr>
        <w:t>Витрати на одного суб</w:t>
      </w:r>
      <w:r>
        <w:rPr>
          <w:sz w:val="28"/>
          <w:szCs w:val="28"/>
        </w:rPr>
        <w:t>’</w:t>
      </w:r>
      <w:r w:rsidRPr="00461B76">
        <w:rPr>
          <w:sz w:val="28"/>
          <w:szCs w:val="28"/>
        </w:rPr>
        <w:t>єкта господарювання, які виникають внаслідок дії регуляторного акта</w:t>
      </w:r>
      <w:r w:rsidRPr="00461B76">
        <w:rPr>
          <w:rStyle w:val="af7"/>
          <w:sz w:val="28"/>
          <w:szCs w:val="28"/>
        </w:rPr>
        <w:footnoteReference w:id="1"/>
      </w: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382"/>
        <w:gridCol w:w="29"/>
        <w:gridCol w:w="3124"/>
        <w:gridCol w:w="1845"/>
        <w:gridCol w:w="1563"/>
        <w:gridCol w:w="1692"/>
        <w:gridCol w:w="14"/>
      </w:tblGrid>
      <w:tr w:rsidR="00327A17" w:rsidRPr="00E7058B" w:rsidTr="00F5708E">
        <w:trPr>
          <w:gridAfter w:val="1"/>
          <w:wAfter w:w="7" w:type="pct"/>
          <w:trHeight w:val="12"/>
          <w:jc w:val="center"/>
        </w:trPr>
        <w:tc>
          <w:tcPr>
            <w:tcW w:w="731" w:type="pct"/>
            <w:gridSpan w:val="2"/>
            <w:vAlign w:val="center"/>
          </w:tcPr>
          <w:p w:rsidR="00327A17" w:rsidRPr="00E7058B" w:rsidRDefault="00327A17" w:rsidP="0060364B">
            <w:pPr>
              <w:spacing w:line="12" w:lineRule="atLeast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E7058B">
              <w:rPr>
                <w:spacing w:val="-8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1618" w:type="pct"/>
            <w:vAlign w:val="center"/>
          </w:tcPr>
          <w:p w:rsidR="00327A17" w:rsidRPr="00E7058B" w:rsidRDefault="00327A17" w:rsidP="0060364B">
            <w:pPr>
              <w:spacing w:line="12" w:lineRule="atLeast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E7058B">
              <w:rPr>
                <w:spacing w:val="-8"/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956" w:type="pct"/>
            <w:vAlign w:val="center"/>
          </w:tcPr>
          <w:p w:rsidR="00327A17" w:rsidRPr="00E7058B" w:rsidRDefault="00327A17" w:rsidP="0060364B">
            <w:pPr>
              <w:spacing w:line="12" w:lineRule="atLeast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E7058B">
              <w:rPr>
                <w:spacing w:val="-8"/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810" w:type="pct"/>
            <w:vAlign w:val="center"/>
          </w:tcPr>
          <w:p w:rsidR="00327A17" w:rsidRPr="00E7058B" w:rsidRDefault="00327A17" w:rsidP="0060364B">
            <w:pPr>
              <w:spacing w:line="12" w:lineRule="atLeast"/>
              <w:jc w:val="center"/>
              <w:rPr>
                <w:spacing w:val="-8"/>
                <w:sz w:val="24"/>
                <w:szCs w:val="24"/>
                <w:lang w:val="uk-UA"/>
              </w:rPr>
            </w:pPr>
            <w:r w:rsidRPr="00E7058B">
              <w:rPr>
                <w:spacing w:val="-8"/>
                <w:sz w:val="24"/>
                <w:szCs w:val="24"/>
                <w:lang w:val="uk-UA"/>
              </w:rPr>
              <w:t>Періодичні (за наступний рік)</w:t>
            </w:r>
          </w:p>
        </w:tc>
        <w:tc>
          <w:tcPr>
            <w:tcW w:w="877" w:type="pct"/>
            <w:vAlign w:val="center"/>
          </w:tcPr>
          <w:p w:rsidR="00327A17" w:rsidRPr="00E7058B" w:rsidRDefault="0071021A" w:rsidP="0060364B">
            <w:pPr>
              <w:spacing w:line="12" w:lineRule="atLeast"/>
              <w:jc w:val="center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pacing w:val="-8"/>
                <w:sz w:val="24"/>
                <w:szCs w:val="24"/>
                <w:lang w:val="uk-UA"/>
              </w:rPr>
              <w:t>Витрати за чотири роки</w:t>
            </w:r>
          </w:p>
        </w:tc>
      </w:tr>
      <w:tr w:rsidR="00327A17" w:rsidRPr="00024E2E" w:rsidTr="00F570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/>
        </w:trPr>
        <w:tc>
          <w:tcPr>
            <w:tcW w:w="5000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7A17" w:rsidRPr="00E7058B" w:rsidRDefault="00327A17" w:rsidP="0060364B">
            <w:pPr>
              <w:spacing w:line="15" w:lineRule="atLeast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327A17" w:rsidRPr="00E7058B" w:rsidTr="00F570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/>
        </w:trPr>
        <w:tc>
          <w:tcPr>
            <w:tcW w:w="7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7A17" w:rsidRPr="00E7058B" w:rsidRDefault="00327A17" w:rsidP="00BA1336">
            <w:pPr>
              <w:spacing w:line="15" w:lineRule="atLeast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1</w:t>
            </w:r>
          </w:p>
        </w:tc>
        <w:tc>
          <w:tcPr>
            <w:tcW w:w="163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7A17" w:rsidRPr="00B44E4B" w:rsidRDefault="00327A17" w:rsidP="00327A17">
            <w:pPr>
              <w:pStyle w:val="af3"/>
              <w:widowControl w:val="0"/>
              <w:spacing w:before="60" w:beforeAutospacing="0" w:after="0" w:afterAutospacing="0"/>
              <w:jc w:val="both"/>
            </w:pPr>
            <w:r>
              <w:t xml:space="preserve">Ознайомлення з вимогами нормативно-правового акта (1день х 1 година х 36,11 </w:t>
            </w:r>
            <w:r w:rsidRPr="00461B76">
              <w:t>грн</w:t>
            </w:r>
            <w:r w:rsidRPr="00461B76">
              <w:rPr>
                <w:rStyle w:val="af7"/>
              </w:rPr>
              <w:footnoteReference w:id="2"/>
            </w:r>
            <w:r>
              <w:t>)</w:t>
            </w:r>
          </w:p>
        </w:tc>
        <w:tc>
          <w:tcPr>
            <w:tcW w:w="9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A17" w:rsidRDefault="00327A17" w:rsidP="00AB36FD">
            <w:pPr>
              <w:pStyle w:val="af3"/>
              <w:widowControl w:val="0"/>
              <w:spacing w:before="60" w:beforeAutospacing="0" w:after="0" w:afterAutospacing="0"/>
              <w:jc w:val="center"/>
            </w:pPr>
            <w:r>
              <w:t>36,11 грн</w:t>
            </w:r>
          </w:p>
        </w:tc>
        <w:tc>
          <w:tcPr>
            <w:tcW w:w="8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A17" w:rsidRPr="00E7058B" w:rsidRDefault="0071021A" w:rsidP="00327A17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  <w:tc>
          <w:tcPr>
            <w:tcW w:w="88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A17" w:rsidRPr="00E7058B" w:rsidRDefault="0071021A" w:rsidP="00327A17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327A17" w:rsidRPr="00E7058B" w:rsidTr="00F570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/>
        </w:trPr>
        <w:tc>
          <w:tcPr>
            <w:tcW w:w="7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7A17" w:rsidRPr="00E7058B" w:rsidRDefault="00327A17" w:rsidP="00BA1336">
            <w:pPr>
              <w:spacing w:line="15" w:lineRule="atLeast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>
              <w:rPr>
                <w:rFonts w:eastAsia="Arial"/>
                <w:spacing w:val="-8"/>
                <w:lang w:val="uk-UA"/>
              </w:rPr>
              <w:t>2</w:t>
            </w:r>
          </w:p>
        </w:tc>
        <w:tc>
          <w:tcPr>
            <w:tcW w:w="163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7A17" w:rsidRPr="00461B76" w:rsidRDefault="00327A17" w:rsidP="00327A17">
            <w:pPr>
              <w:pStyle w:val="af3"/>
              <w:widowControl w:val="0"/>
              <w:spacing w:before="60" w:beforeAutospacing="0" w:after="0" w:afterAutospacing="0"/>
              <w:jc w:val="both"/>
            </w:pPr>
            <w:r w:rsidRPr="00B44E4B">
              <w:t>Повідомлення з обґрунтуванням внесення змін у дійсне реєстраційне посвідчення</w:t>
            </w:r>
            <w:r w:rsidRPr="00461B76">
              <w:t xml:space="preserve"> (в середньому – </w:t>
            </w:r>
            <w:r w:rsidRPr="00E37142">
              <w:t>1 д</w:t>
            </w:r>
            <w:r>
              <w:t>ень х 3 години х 36,1</w:t>
            </w:r>
            <w:r w:rsidRPr="00461B76">
              <w:t>1 грн)</w:t>
            </w:r>
          </w:p>
        </w:tc>
        <w:tc>
          <w:tcPr>
            <w:tcW w:w="9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A17" w:rsidRPr="00461B76" w:rsidRDefault="00327A17" w:rsidP="00AB36FD">
            <w:pPr>
              <w:pStyle w:val="af3"/>
              <w:widowControl w:val="0"/>
              <w:spacing w:before="60" w:beforeAutospacing="0" w:after="0" w:afterAutospacing="0"/>
              <w:jc w:val="center"/>
            </w:pPr>
            <w:r>
              <w:t>108,33</w:t>
            </w:r>
            <w:r w:rsidRPr="00461B76">
              <w:t xml:space="preserve"> грн</w:t>
            </w:r>
          </w:p>
        </w:tc>
        <w:tc>
          <w:tcPr>
            <w:tcW w:w="8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A17" w:rsidRPr="00E7058B" w:rsidRDefault="00327A17" w:rsidP="00327A17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  <w:tc>
          <w:tcPr>
            <w:tcW w:w="88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A17" w:rsidRPr="00E7058B" w:rsidRDefault="00327A17" w:rsidP="00327A17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71021A" w:rsidRPr="00E7058B" w:rsidTr="00F570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/>
        </w:trPr>
        <w:tc>
          <w:tcPr>
            <w:tcW w:w="7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21A" w:rsidRPr="00E7058B" w:rsidRDefault="0071021A" w:rsidP="00BA1336">
            <w:pPr>
              <w:spacing w:line="15" w:lineRule="atLeast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>
              <w:rPr>
                <w:rFonts w:eastAsia="Arial"/>
                <w:spacing w:val="-8"/>
                <w:lang w:val="uk-UA"/>
              </w:rPr>
              <w:t>3</w:t>
            </w:r>
          </w:p>
        </w:tc>
        <w:tc>
          <w:tcPr>
            <w:tcW w:w="163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21A" w:rsidRPr="00461B76" w:rsidRDefault="0071021A" w:rsidP="0071021A">
            <w:pPr>
              <w:pStyle w:val="af3"/>
              <w:widowControl w:val="0"/>
              <w:spacing w:before="60" w:beforeAutospacing="0" w:after="0" w:afterAutospacing="0"/>
              <w:jc w:val="both"/>
            </w:pPr>
            <w:r w:rsidRPr="00461B76">
              <w:t>Витрати на оборотні активи (папір,  конверт, марку</w:t>
            </w:r>
            <w:r w:rsidRPr="00EC5C33">
              <w:rPr>
                <w:rStyle w:val="af7"/>
              </w:rPr>
              <w:footnoteReference w:id="3"/>
            </w:r>
            <w:r>
              <w:t xml:space="preserve"> </w:t>
            </w:r>
            <w:r w:rsidRPr="00461B76">
              <w:t>(70+3,75+13,5), грн</w:t>
            </w:r>
          </w:p>
        </w:tc>
        <w:tc>
          <w:tcPr>
            <w:tcW w:w="9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21A" w:rsidRPr="00461B76" w:rsidRDefault="0071021A" w:rsidP="00AB36FD">
            <w:pPr>
              <w:pStyle w:val="af3"/>
              <w:widowControl w:val="0"/>
              <w:spacing w:before="60" w:beforeAutospacing="0" w:after="0" w:afterAutospacing="0"/>
              <w:jc w:val="center"/>
            </w:pPr>
            <w:r w:rsidRPr="00461B76">
              <w:t>87,25 грн</w:t>
            </w:r>
          </w:p>
        </w:tc>
        <w:tc>
          <w:tcPr>
            <w:tcW w:w="810" w:type="pct"/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  <w:tc>
          <w:tcPr>
            <w:tcW w:w="884" w:type="pct"/>
            <w:gridSpan w:val="2"/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71021A" w:rsidRPr="00E7058B" w:rsidTr="00F570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/>
        </w:trPr>
        <w:tc>
          <w:tcPr>
            <w:tcW w:w="7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21A" w:rsidRPr="00E7058B" w:rsidRDefault="0071021A" w:rsidP="00BA1336">
            <w:pPr>
              <w:spacing w:line="15" w:lineRule="atLeast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>
              <w:rPr>
                <w:rFonts w:eastAsia="Arial"/>
                <w:spacing w:val="-8"/>
                <w:lang w:val="uk-UA"/>
              </w:rPr>
              <w:t>4</w:t>
            </w:r>
          </w:p>
        </w:tc>
        <w:tc>
          <w:tcPr>
            <w:tcW w:w="163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21A" w:rsidRPr="00461B76" w:rsidRDefault="0071021A" w:rsidP="0071021A">
            <w:pPr>
              <w:pStyle w:val="af3"/>
              <w:widowControl w:val="0"/>
              <w:spacing w:before="60" w:beforeAutospacing="0" w:after="0" w:afterAutospacing="0"/>
              <w:jc w:val="both"/>
            </w:pPr>
            <w:r w:rsidRPr="00461B76">
              <w:t>Оформлення одного рекомендованого листа по Україні, грн</w:t>
            </w:r>
          </w:p>
        </w:tc>
        <w:tc>
          <w:tcPr>
            <w:tcW w:w="9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461B76" w:rsidRDefault="0071021A" w:rsidP="00AB36FD">
            <w:pPr>
              <w:pStyle w:val="af3"/>
              <w:widowControl w:val="0"/>
              <w:spacing w:before="60" w:beforeAutospacing="0" w:after="0" w:afterAutospacing="0"/>
              <w:jc w:val="center"/>
            </w:pPr>
            <w:r>
              <w:t>9</w:t>
            </w:r>
            <w:r w:rsidRPr="00461B76">
              <w:t>,00 грн</w:t>
            </w:r>
          </w:p>
        </w:tc>
        <w:tc>
          <w:tcPr>
            <w:tcW w:w="8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  <w:tc>
          <w:tcPr>
            <w:tcW w:w="88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71021A" w:rsidRPr="00E7058B" w:rsidTr="00F570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/>
        </w:trPr>
        <w:tc>
          <w:tcPr>
            <w:tcW w:w="7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A" w:rsidRDefault="0071021A" w:rsidP="00BA1336">
            <w:pPr>
              <w:spacing w:line="15" w:lineRule="atLeast"/>
              <w:jc w:val="center"/>
              <w:rPr>
                <w:rFonts w:eastAsia="Arial"/>
                <w:spacing w:val="-8"/>
                <w:lang w:val="uk-UA"/>
              </w:rPr>
            </w:pPr>
            <w:r>
              <w:rPr>
                <w:rFonts w:eastAsia="Arial"/>
                <w:spacing w:val="-8"/>
                <w:lang w:val="uk-UA"/>
              </w:rPr>
              <w:t>5</w:t>
            </w:r>
          </w:p>
        </w:tc>
        <w:tc>
          <w:tcPr>
            <w:tcW w:w="163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A" w:rsidRPr="00461B76" w:rsidRDefault="0071021A" w:rsidP="0071021A">
            <w:pPr>
              <w:pStyle w:val="af3"/>
              <w:widowControl w:val="0"/>
              <w:spacing w:before="60" w:beforeAutospacing="0" w:after="0" w:afterAutospacing="0"/>
              <w:jc w:val="both"/>
            </w:pPr>
            <w:r w:rsidRPr="00461B76">
              <w:t>Відправлення листа – звернення</w:t>
            </w:r>
            <w:r>
              <w:t xml:space="preserve"> (в середньому - 0,5 години х 36,1</w:t>
            </w:r>
            <w:r w:rsidRPr="00461B76">
              <w:t xml:space="preserve">1 грн) </w:t>
            </w:r>
          </w:p>
        </w:tc>
        <w:tc>
          <w:tcPr>
            <w:tcW w:w="9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461B76" w:rsidRDefault="0071021A" w:rsidP="00AB36FD">
            <w:pPr>
              <w:pStyle w:val="af3"/>
              <w:widowControl w:val="0"/>
              <w:spacing w:before="60" w:beforeAutospacing="0" w:after="0" w:afterAutospacing="0"/>
              <w:jc w:val="center"/>
            </w:pPr>
            <w:r>
              <w:t>18,055</w:t>
            </w:r>
            <w:r w:rsidRPr="00461B76">
              <w:t xml:space="preserve"> грн</w:t>
            </w:r>
          </w:p>
        </w:tc>
        <w:tc>
          <w:tcPr>
            <w:tcW w:w="8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  <w:tc>
          <w:tcPr>
            <w:tcW w:w="88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71021A" w:rsidRPr="00E7058B" w:rsidTr="00F570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/>
        </w:trPr>
        <w:tc>
          <w:tcPr>
            <w:tcW w:w="7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A" w:rsidRDefault="0071021A" w:rsidP="00BA1336">
            <w:pPr>
              <w:spacing w:line="15" w:lineRule="atLeast"/>
              <w:jc w:val="center"/>
              <w:rPr>
                <w:rFonts w:eastAsia="Arial"/>
                <w:spacing w:val="-8"/>
                <w:lang w:val="uk-UA"/>
              </w:rPr>
            </w:pPr>
            <w:r>
              <w:rPr>
                <w:rFonts w:eastAsia="Arial"/>
                <w:spacing w:val="-8"/>
                <w:lang w:val="uk-UA"/>
              </w:rPr>
              <w:t>6</w:t>
            </w:r>
          </w:p>
        </w:tc>
        <w:tc>
          <w:tcPr>
            <w:tcW w:w="163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A" w:rsidRDefault="0071021A" w:rsidP="0071021A">
            <w:pPr>
              <w:pStyle w:val="af3"/>
              <w:widowControl w:val="0"/>
              <w:spacing w:before="60" w:beforeAutospacing="0" w:after="0" w:afterAutospacing="0"/>
              <w:jc w:val="both"/>
            </w:pPr>
            <w:r w:rsidRPr="00461B76">
              <w:t>РАЗОМ (сума рядків: 1+2+3+4</w:t>
            </w:r>
            <w:r>
              <w:t>+5</w:t>
            </w:r>
            <w:r w:rsidRPr="00461B76">
              <w:t>), грн</w:t>
            </w:r>
          </w:p>
          <w:p w:rsidR="0071021A" w:rsidRPr="00461B76" w:rsidRDefault="0071021A" w:rsidP="0071021A">
            <w:pPr>
              <w:pStyle w:val="af3"/>
              <w:widowControl w:val="0"/>
              <w:spacing w:before="60" w:beforeAutospacing="0" w:after="0" w:afterAutospacing="0"/>
              <w:jc w:val="both"/>
            </w:pPr>
          </w:p>
        </w:tc>
        <w:tc>
          <w:tcPr>
            <w:tcW w:w="9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461B76" w:rsidRDefault="0071021A" w:rsidP="00AB36FD">
            <w:pPr>
              <w:pStyle w:val="af3"/>
              <w:widowControl w:val="0"/>
              <w:spacing w:before="60" w:beforeAutospacing="0" w:after="0" w:afterAutospacing="0"/>
              <w:jc w:val="center"/>
            </w:pPr>
            <w:r>
              <w:t>258,745</w:t>
            </w:r>
            <w:r w:rsidRPr="00461B76">
              <w:t>‬ грн</w:t>
            </w:r>
          </w:p>
        </w:tc>
        <w:tc>
          <w:tcPr>
            <w:tcW w:w="8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  <w:tc>
          <w:tcPr>
            <w:tcW w:w="88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71021A" w:rsidRPr="00E7058B" w:rsidTr="00F570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/>
        </w:trPr>
        <w:tc>
          <w:tcPr>
            <w:tcW w:w="7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A" w:rsidRDefault="0071021A" w:rsidP="00BA1336">
            <w:pPr>
              <w:spacing w:line="15" w:lineRule="atLeast"/>
              <w:jc w:val="center"/>
              <w:rPr>
                <w:rFonts w:eastAsia="Arial"/>
                <w:spacing w:val="-8"/>
                <w:lang w:val="uk-UA"/>
              </w:rPr>
            </w:pPr>
            <w:r>
              <w:rPr>
                <w:rFonts w:eastAsia="Arial"/>
                <w:spacing w:val="-8"/>
                <w:lang w:val="uk-UA"/>
              </w:rPr>
              <w:t>7</w:t>
            </w:r>
          </w:p>
        </w:tc>
        <w:tc>
          <w:tcPr>
            <w:tcW w:w="163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A" w:rsidRPr="00461B76" w:rsidRDefault="0071021A" w:rsidP="0071021A">
            <w:pPr>
              <w:pStyle w:val="af3"/>
              <w:widowControl w:val="0"/>
              <w:spacing w:before="60" w:beforeAutospacing="0" w:after="0" w:afterAutospacing="0"/>
              <w:jc w:val="both"/>
            </w:pPr>
            <w:r w:rsidRPr="00461B76">
              <w:t>Кількість суб</w:t>
            </w:r>
            <w:r>
              <w:t>’</w:t>
            </w:r>
            <w:r w:rsidRPr="00461B76">
              <w:t>єктів господарювання, на яких буде поширено регулювання, одиниць</w:t>
            </w:r>
          </w:p>
        </w:tc>
        <w:tc>
          <w:tcPr>
            <w:tcW w:w="9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461B76" w:rsidRDefault="0071021A" w:rsidP="00AB36FD">
            <w:pPr>
              <w:pStyle w:val="af3"/>
              <w:widowControl w:val="0"/>
              <w:spacing w:before="60" w:beforeAutospacing="0" w:after="0" w:afterAutospacing="0"/>
              <w:jc w:val="center"/>
            </w:pPr>
            <w:r>
              <w:t>3690</w:t>
            </w:r>
          </w:p>
        </w:tc>
        <w:tc>
          <w:tcPr>
            <w:tcW w:w="8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  <w:tc>
          <w:tcPr>
            <w:tcW w:w="88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</w:tr>
      <w:tr w:rsidR="0071021A" w:rsidRPr="00E7058B" w:rsidTr="00F570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/>
        </w:trPr>
        <w:tc>
          <w:tcPr>
            <w:tcW w:w="7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A" w:rsidRDefault="0071021A" w:rsidP="00BA1336">
            <w:pPr>
              <w:spacing w:line="15" w:lineRule="atLeast"/>
              <w:jc w:val="center"/>
              <w:rPr>
                <w:rFonts w:eastAsia="Arial"/>
                <w:spacing w:val="-8"/>
                <w:lang w:val="uk-UA"/>
              </w:rPr>
            </w:pPr>
            <w:r>
              <w:rPr>
                <w:rFonts w:eastAsia="Arial"/>
                <w:spacing w:val="-8"/>
                <w:lang w:val="uk-UA"/>
              </w:rPr>
              <w:t>8</w:t>
            </w:r>
          </w:p>
        </w:tc>
        <w:tc>
          <w:tcPr>
            <w:tcW w:w="163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21A" w:rsidRPr="00461B76" w:rsidRDefault="0071021A" w:rsidP="0071021A">
            <w:pPr>
              <w:pStyle w:val="af3"/>
              <w:widowControl w:val="0"/>
              <w:spacing w:before="60" w:beforeAutospacing="0" w:after="0" w:afterAutospacing="0"/>
              <w:jc w:val="both"/>
            </w:pPr>
            <w:r w:rsidRPr="00461B76">
              <w:t>Сумарні витрати суб</w:t>
            </w:r>
            <w:r>
              <w:t>’</w:t>
            </w:r>
            <w:r w:rsidRPr="00461B76">
              <w:t>єктів господарювання, на виконання регулювання</w:t>
            </w:r>
            <w:r w:rsidR="00AB36FD">
              <w:t xml:space="preserve"> (вартість регулювання) (рядок 6 х рядок 7</w:t>
            </w:r>
            <w:r w:rsidRPr="00461B76">
              <w:t>), грн</w:t>
            </w:r>
          </w:p>
        </w:tc>
        <w:tc>
          <w:tcPr>
            <w:tcW w:w="9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461B76" w:rsidRDefault="0071021A" w:rsidP="00AB36FD">
            <w:pPr>
              <w:pStyle w:val="af3"/>
              <w:widowControl w:val="0"/>
              <w:spacing w:before="60" w:beforeAutospacing="0" w:after="0" w:afterAutospacing="0"/>
              <w:jc w:val="center"/>
            </w:pPr>
            <w:r w:rsidRPr="00096536">
              <w:t>954 769,05</w:t>
            </w:r>
            <w:r>
              <w:t xml:space="preserve"> </w:t>
            </w:r>
            <w:r w:rsidRPr="00461B76">
              <w:t>‬грн</w:t>
            </w:r>
          </w:p>
        </w:tc>
        <w:tc>
          <w:tcPr>
            <w:tcW w:w="81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  <w:tc>
          <w:tcPr>
            <w:tcW w:w="88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1A" w:rsidRPr="00E7058B" w:rsidRDefault="0071021A" w:rsidP="0071021A">
            <w:pPr>
              <w:spacing w:line="276" w:lineRule="auto"/>
              <w:jc w:val="center"/>
              <w:rPr>
                <w:rFonts w:eastAsia="Arial"/>
                <w:spacing w:val="-8"/>
                <w:sz w:val="24"/>
                <w:szCs w:val="24"/>
                <w:lang w:val="uk-UA"/>
              </w:rPr>
            </w:pPr>
            <w:r w:rsidRPr="00E7058B">
              <w:rPr>
                <w:rFonts w:eastAsia="Arial"/>
                <w:spacing w:val="-8"/>
                <w:sz w:val="24"/>
                <w:szCs w:val="24"/>
                <w:lang w:val="uk-UA"/>
              </w:rPr>
              <w:t>не передбачені</w:t>
            </w:r>
          </w:p>
        </w:tc>
      </w:tr>
    </w:tbl>
    <w:p w:rsidR="0071021A" w:rsidRPr="00D37AD8" w:rsidRDefault="0071021A" w:rsidP="0071021A">
      <w:pPr>
        <w:spacing w:before="100" w:beforeAutospacing="1" w:after="100" w:afterAutospacing="1"/>
        <w:ind w:firstLine="426"/>
        <w:jc w:val="both"/>
        <w:rPr>
          <w:b/>
          <w:sz w:val="28"/>
          <w:lang w:val="uk-UA" w:eastAsia="uk-UA"/>
        </w:rPr>
      </w:pPr>
      <w:r w:rsidRPr="001B695D">
        <w:rPr>
          <w:b/>
          <w:sz w:val="28"/>
          <w:lang w:val="uk-UA" w:eastAsia="uk-UA"/>
        </w:rPr>
        <w:t xml:space="preserve">Бюджетні витрати на адміністрування регулювання суб’єктів малого </w:t>
      </w:r>
      <w:r w:rsidR="00F5708E">
        <w:rPr>
          <w:b/>
          <w:sz w:val="28"/>
          <w:lang w:val="uk-UA" w:eastAsia="uk-UA"/>
        </w:rPr>
        <w:lastRenderedPageBreak/>
        <w:t>п</w:t>
      </w:r>
      <w:r w:rsidRPr="001B695D">
        <w:rPr>
          <w:b/>
          <w:sz w:val="28"/>
          <w:lang w:val="uk-UA" w:eastAsia="uk-UA"/>
        </w:rPr>
        <w:t>ідприємництва</w:t>
      </w:r>
    </w:p>
    <w:p w:rsidR="0044301B" w:rsidRPr="00AB36FD" w:rsidRDefault="0071021A" w:rsidP="00AB36FD">
      <w:pPr>
        <w:spacing w:before="100" w:beforeAutospacing="1" w:after="100" w:afterAutospacing="1"/>
        <w:ind w:firstLine="426"/>
        <w:jc w:val="both"/>
        <w:rPr>
          <w:sz w:val="28"/>
          <w:lang w:val="uk-UA" w:eastAsia="uk-UA"/>
        </w:rPr>
      </w:pPr>
      <w:bookmarkStart w:id="9" w:name="n141"/>
      <w:bookmarkEnd w:id="9"/>
      <w:r w:rsidRPr="00D37AD8">
        <w:rPr>
          <w:sz w:val="28"/>
          <w:lang w:val="uk-UA" w:eastAsia="uk-UA"/>
        </w:rPr>
        <w:t>Розрахунок бюджетних витрат на адміністрування регулювання</w:t>
      </w:r>
      <w:r w:rsidR="0044301B">
        <w:rPr>
          <w:sz w:val="28"/>
          <w:lang w:val="uk-UA" w:eastAsia="uk-UA"/>
        </w:rPr>
        <w:t>, яке буде здійснювати Держпродспоживслужба.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2583"/>
        <w:gridCol w:w="1491"/>
        <w:gridCol w:w="1585"/>
        <w:gridCol w:w="1415"/>
        <w:gridCol w:w="921"/>
        <w:gridCol w:w="1349"/>
      </w:tblGrid>
      <w:tr w:rsidR="0071021A" w:rsidRPr="00024E2E" w:rsidTr="00F5708E">
        <w:trPr>
          <w:jc w:val="center"/>
        </w:trPr>
        <w:tc>
          <w:tcPr>
            <w:tcW w:w="1382" w:type="pct"/>
            <w:vAlign w:val="center"/>
          </w:tcPr>
          <w:p w:rsidR="0071021A" w:rsidRPr="00D37AD8" w:rsidRDefault="0071021A" w:rsidP="0060364B">
            <w:pPr>
              <w:spacing w:before="100" w:beforeAutospacing="1" w:after="100" w:afterAutospacing="1"/>
              <w:ind w:right="129"/>
              <w:jc w:val="center"/>
              <w:rPr>
                <w:szCs w:val="24"/>
                <w:lang w:val="uk-UA" w:eastAsia="uk-UA"/>
              </w:rPr>
            </w:pPr>
            <w:r w:rsidRPr="00D37AD8">
              <w:rPr>
                <w:szCs w:val="24"/>
                <w:lang w:val="uk-UA" w:eastAsia="uk-UA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</w:t>
            </w:r>
            <w:r w:rsidRPr="00D37AD8">
              <w:rPr>
                <w:sz w:val="28"/>
                <w:szCs w:val="28"/>
                <w:lang w:val="uk-UA"/>
              </w:rPr>
              <w:t>–</w:t>
            </w:r>
            <w:r w:rsidRPr="00D37AD8">
              <w:rPr>
                <w:szCs w:val="24"/>
                <w:lang w:val="uk-UA" w:eastAsia="uk-UA"/>
              </w:rPr>
              <w:t xml:space="preserve"> за потреби окремо для суб’єктів малого та мікро-підприємництв)</w:t>
            </w:r>
          </w:p>
        </w:tc>
        <w:tc>
          <w:tcPr>
            <w:tcW w:w="798" w:type="pct"/>
            <w:vAlign w:val="center"/>
          </w:tcPr>
          <w:p w:rsidR="0071021A" w:rsidRPr="00D37AD8" w:rsidRDefault="0071021A" w:rsidP="0060364B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D37AD8">
              <w:rPr>
                <w:lang w:val="uk-UA" w:eastAsia="uk-UA"/>
              </w:rPr>
              <w:t>Планові витрати часу на процедуру</w:t>
            </w:r>
          </w:p>
        </w:tc>
        <w:tc>
          <w:tcPr>
            <w:tcW w:w="848" w:type="pct"/>
            <w:vAlign w:val="center"/>
          </w:tcPr>
          <w:p w:rsidR="0071021A" w:rsidRPr="00D37AD8" w:rsidRDefault="0071021A" w:rsidP="0060364B">
            <w:pPr>
              <w:spacing w:before="100" w:beforeAutospacing="1" w:after="100" w:afterAutospacing="1"/>
              <w:ind w:right="74"/>
              <w:jc w:val="center"/>
              <w:rPr>
                <w:lang w:val="uk-UA" w:eastAsia="uk-UA"/>
              </w:rPr>
            </w:pPr>
            <w:r w:rsidRPr="00D37AD8">
              <w:rPr>
                <w:lang w:val="uk-UA"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57" w:type="pct"/>
            <w:vAlign w:val="center"/>
          </w:tcPr>
          <w:p w:rsidR="0071021A" w:rsidRPr="00D37AD8" w:rsidRDefault="0071021A" w:rsidP="0060364B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D37AD8">
              <w:rPr>
                <w:lang w:val="uk-UA"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493" w:type="pct"/>
            <w:vAlign w:val="center"/>
          </w:tcPr>
          <w:p w:rsidR="0071021A" w:rsidRPr="00D37AD8" w:rsidRDefault="0071021A" w:rsidP="0060364B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D37AD8">
              <w:rPr>
                <w:lang w:val="uk-UA" w:eastAsia="uk-UA"/>
              </w:rPr>
              <w:t>Оцінка кількості          суб’єктів, що підпадають під дію процедури регулювання</w:t>
            </w:r>
          </w:p>
        </w:tc>
        <w:tc>
          <w:tcPr>
            <w:tcW w:w="722" w:type="pct"/>
            <w:vAlign w:val="center"/>
          </w:tcPr>
          <w:p w:rsidR="0071021A" w:rsidRPr="00D37AD8" w:rsidRDefault="0071021A" w:rsidP="0060364B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D37AD8">
              <w:rPr>
                <w:lang w:val="uk-UA" w:eastAsia="uk-UA"/>
              </w:rPr>
              <w:t>Витрати на адміністру- вання регулювання* (за рік), гривень</w:t>
            </w:r>
          </w:p>
        </w:tc>
      </w:tr>
      <w:tr w:rsidR="00EC0962" w:rsidRPr="0071021A" w:rsidTr="00F5708E">
        <w:trPr>
          <w:jc w:val="center"/>
        </w:trPr>
        <w:tc>
          <w:tcPr>
            <w:tcW w:w="1382" w:type="pct"/>
          </w:tcPr>
          <w:p w:rsidR="00EC0962" w:rsidRPr="00461B76" w:rsidRDefault="00EC0962" w:rsidP="00AA4610">
            <w:pPr>
              <w:pStyle w:val="af3"/>
              <w:widowControl w:val="0"/>
              <w:spacing w:before="60" w:beforeAutospacing="0" w:after="0" w:afterAutospacing="0"/>
              <w:jc w:val="both"/>
            </w:pPr>
            <w:r>
              <w:t xml:space="preserve">Розгляд повідомлення про </w:t>
            </w:r>
            <w:r w:rsidR="00AA4610">
              <w:t>в</w:t>
            </w:r>
            <w:r>
              <w:t>несення змін до реєстраційних посвідчень від оператора ринку</w:t>
            </w:r>
          </w:p>
        </w:tc>
        <w:tc>
          <w:tcPr>
            <w:tcW w:w="798" w:type="pct"/>
            <w:vAlign w:val="center"/>
          </w:tcPr>
          <w:p w:rsidR="00EC0962" w:rsidRPr="00D37AD8" w:rsidRDefault="00EC0962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година</w:t>
            </w:r>
          </w:p>
        </w:tc>
        <w:tc>
          <w:tcPr>
            <w:tcW w:w="848" w:type="pct"/>
            <w:vAlign w:val="center"/>
          </w:tcPr>
          <w:p w:rsidR="00EC0962" w:rsidRPr="0044301B" w:rsidRDefault="00EC0962" w:rsidP="00EC0962">
            <w:pPr>
              <w:spacing w:before="100" w:beforeAutospacing="1" w:after="100" w:afterAutospacing="1"/>
              <w:ind w:right="74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36,11</w:t>
            </w:r>
            <w:r w:rsidR="0044301B">
              <w:rPr>
                <w:lang w:eastAsia="uk-UA"/>
              </w:rPr>
              <w:t xml:space="preserve"> </w:t>
            </w:r>
            <w:r w:rsidR="0044301B">
              <w:rPr>
                <w:lang w:val="uk-UA" w:eastAsia="uk-UA"/>
              </w:rPr>
              <w:t>грн.</w:t>
            </w:r>
          </w:p>
        </w:tc>
        <w:tc>
          <w:tcPr>
            <w:tcW w:w="757" w:type="pct"/>
            <w:vAlign w:val="center"/>
          </w:tcPr>
          <w:p w:rsidR="00EC0962" w:rsidRPr="00D37AD8" w:rsidRDefault="00EC0962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93" w:type="pct"/>
            <w:vAlign w:val="center"/>
          </w:tcPr>
          <w:p w:rsidR="00EC0962" w:rsidRPr="00D37AD8" w:rsidRDefault="00AB36FD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3690</w:t>
            </w:r>
          </w:p>
        </w:tc>
        <w:tc>
          <w:tcPr>
            <w:tcW w:w="722" w:type="pct"/>
            <w:vAlign w:val="center"/>
          </w:tcPr>
          <w:p w:rsidR="00EC0962" w:rsidRPr="00D37AD8" w:rsidRDefault="00AB36FD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24915,9</w:t>
            </w:r>
            <w:r w:rsidRPr="00AB36FD">
              <w:t xml:space="preserve"> грн.</w:t>
            </w:r>
          </w:p>
        </w:tc>
      </w:tr>
      <w:tr w:rsidR="00EC0962" w:rsidRPr="0071021A" w:rsidTr="00F5708E">
        <w:trPr>
          <w:jc w:val="center"/>
        </w:trPr>
        <w:tc>
          <w:tcPr>
            <w:tcW w:w="1382" w:type="pct"/>
          </w:tcPr>
          <w:p w:rsidR="00EC0962" w:rsidRPr="00461B76" w:rsidRDefault="00AA4610" w:rsidP="00EC0962">
            <w:pPr>
              <w:pStyle w:val="af3"/>
              <w:widowControl w:val="0"/>
              <w:spacing w:before="60" w:beforeAutospacing="0" w:after="0" w:afterAutospacing="0"/>
              <w:jc w:val="both"/>
            </w:pPr>
            <w:r>
              <w:t>В</w:t>
            </w:r>
            <w:r w:rsidR="00EC0962">
              <w:t xml:space="preserve">несення змін до дійсних реєстраційних посвідчень </w:t>
            </w:r>
          </w:p>
        </w:tc>
        <w:tc>
          <w:tcPr>
            <w:tcW w:w="798" w:type="pct"/>
            <w:vAlign w:val="center"/>
          </w:tcPr>
          <w:p w:rsidR="00EC0962" w:rsidRPr="00D37AD8" w:rsidRDefault="00AB36FD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година</w:t>
            </w:r>
          </w:p>
        </w:tc>
        <w:tc>
          <w:tcPr>
            <w:tcW w:w="848" w:type="pct"/>
            <w:vAlign w:val="center"/>
          </w:tcPr>
          <w:p w:rsidR="00EC0962" w:rsidRPr="00D37AD8" w:rsidRDefault="00AB36FD" w:rsidP="00EC0962">
            <w:pPr>
              <w:spacing w:before="100" w:beforeAutospacing="1" w:after="100" w:afterAutospacing="1"/>
              <w:ind w:right="74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  <w:r w:rsidR="00EC0962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11</w:t>
            </w:r>
            <w:r w:rsidR="0044301B">
              <w:rPr>
                <w:lang w:val="uk-UA" w:eastAsia="uk-UA"/>
              </w:rPr>
              <w:t xml:space="preserve"> грн.</w:t>
            </w:r>
          </w:p>
        </w:tc>
        <w:tc>
          <w:tcPr>
            <w:tcW w:w="757" w:type="pct"/>
            <w:vAlign w:val="center"/>
          </w:tcPr>
          <w:p w:rsidR="00EC0962" w:rsidRPr="00D37AD8" w:rsidRDefault="00EC0962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93" w:type="pct"/>
            <w:vAlign w:val="center"/>
          </w:tcPr>
          <w:p w:rsidR="00EC0962" w:rsidRPr="00D37AD8" w:rsidRDefault="00AB36FD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3690</w:t>
            </w:r>
          </w:p>
        </w:tc>
        <w:tc>
          <w:tcPr>
            <w:tcW w:w="722" w:type="pct"/>
            <w:vAlign w:val="center"/>
          </w:tcPr>
          <w:p w:rsidR="00EC0962" w:rsidRPr="00D37AD8" w:rsidRDefault="00AB36FD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24915,9</w:t>
            </w:r>
            <w:r w:rsidRPr="00AB36FD">
              <w:t xml:space="preserve"> грн.</w:t>
            </w:r>
          </w:p>
        </w:tc>
      </w:tr>
      <w:tr w:rsidR="00EC0962" w:rsidRPr="0071021A" w:rsidTr="00F5708E">
        <w:trPr>
          <w:jc w:val="center"/>
        </w:trPr>
        <w:tc>
          <w:tcPr>
            <w:tcW w:w="1382" w:type="pct"/>
          </w:tcPr>
          <w:p w:rsidR="00EC0962" w:rsidRPr="00AB36FD" w:rsidRDefault="00EC0962" w:rsidP="00EC0962">
            <w:pPr>
              <w:pStyle w:val="af3"/>
              <w:widowControl w:val="0"/>
              <w:spacing w:before="60" w:beforeAutospacing="0" w:after="0" w:afterAutospacing="0"/>
              <w:jc w:val="both"/>
            </w:pPr>
            <w:r w:rsidRPr="00AB36FD">
              <w:t>Витрати на оборотні активи (папір,</w:t>
            </w:r>
            <w:r w:rsidR="00AB36FD" w:rsidRPr="00AB36FD">
              <w:t xml:space="preserve">  конверт, марку (70+3,75+13,5=</w:t>
            </w:r>
            <w:r w:rsidRPr="00AB36FD">
              <w:t xml:space="preserve"> </w:t>
            </w:r>
            <w:r w:rsidR="00AB36FD" w:rsidRPr="00AB36FD">
              <w:t xml:space="preserve">87,25 </w:t>
            </w:r>
            <w:r w:rsidRPr="00AB36FD">
              <w:t>грн</w:t>
            </w:r>
            <w:r w:rsidR="00AB36FD" w:rsidRPr="00AB36FD">
              <w:t>.) на одного суб’єкта</w:t>
            </w:r>
          </w:p>
          <w:p w:rsidR="00AB36FD" w:rsidRPr="00461B76" w:rsidRDefault="00AB36FD" w:rsidP="00EC0962">
            <w:pPr>
              <w:pStyle w:val="af3"/>
              <w:widowControl w:val="0"/>
              <w:spacing w:before="60" w:beforeAutospacing="0" w:after="0" w:afterAutospacing="0"/>
              <w:jc w:val="both"/>
            </w:pPr>
          </w:p>
        </w:tc>
        <w:tc>
          <w:tcPr>
            <w:tcW w:w="798" w:type="pct"/>
            <w:vAlign w:val="center"/>
          </w:tcPr>
          <w:p w:rsidR="00EC0962" w:rsidRPr="00D37AD8" w:rsidRDefault="00EC0962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Не застосовується</w:t>
            </w:r>
          </w:p>
        </w:tc>
        <w:tc>
          <w:tcPr>
            <w:tcW w:w="848" w:type="pct"/>
            <w:vAlign w:val="center"/>
          </w:tcPr>
          <w:p w:rsidR="00EC0962" w:rsidRPr="00D37AD8" w:rsidRDefault="00EC0962" w:rsidP="00EC0962">
            <w:pPr>
              <w:spacing w:before="100" w:beforeAutospacing="1" w:after="100" w:afterAutospacing="1"/>
              <w:ind w:right="74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Не застосовується</w:t>
            </w:r>
          </w:p>
        </w:tc>
        <w:tc>
          <w:tcPr>
            <w:tcW w:w="757" w:type="pct"/>
            <w:vAlign w:val="center"/>
          </w:tcPr>
          <w:p w:rsidR="00EC0962" w:rsidRPr="00D37AD8" w:rsidRDefault="00EC0962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Не застосовується</w:t>
            </w:r>
          </w:p>
        </w:tc>
        <w:tc>
          <w:tcPr>
            <w:tcW w:w="493" w:type="pct"/>
            <w:vAlign w:val="center"/>
          </w:tcPr>
          <w:p w:rsidR="00EC0962" w:rsidRPr="00D37AD8" w:rsidRDefault="00AB36FD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3690</w:t>
            </w:r>
          </w:p>
        </w:tc>
        <w:tc>
          <w:tcPr>
            <w:tcW w:w="722" w:type="pct"/>
            <w:vAlign w:val="center"/>
          </w:tcPr>
          <w:p w:rsidR="00AB36FD" w:rsidRPr="00461B76" w:rsidRDefault="00AB36FD" w:rsidP="00AB36FD">
            <w:pPr>
              <w:pStyle w:val="af3"/>
              <w:widowControl w:val="0"/>
              <w:spacing w:before="60" w:beforeAutospacing="0" w:after="0" w:afterAutospacing="0"/>
              <w:jc w:val="center"/>
            </w:pPr>
            <w:r w:rsidRPr="00AB36FD">
              <w:rPr>
                <w:sz w:val="20"/>
                <w:szCs w:val="20"/>
              </w:rPr>
              <w:t>321 952,5 грн.</w:t>
            </w:r>
          </w:p>
        </w:tc>
      </w:tr>
      <w:tr w:rsidR="00EC0962" w:rsidRPr="0071021A" w:rsidTr="00F5708E">
        <w:trPr>
          <w:jc w:val="center"/>
        </w:trPr>
        <w:tc>
          <w:tcPr>
            <w:tcW w:w="1382" w:type="pct"/>
          </w:tcPr>
          <w:p w:rsidR="00EC0962" w:rsidRPr="00461B76" w:rsidRDefault="00EC0962" w:rsidP="00EC0962">
            <w:pPr>
              <w:pStyle w:val="af3"/>
              <w:widowControl w:val="0"/>
              <w:spacing w:before="60" w:beforeAutospacing="0" w:after="0" w:afterAutospacing="0"/>
              <w:jc w:val="both"/>
            </w:pPr>
            <w:r w:rsidRPr="00461B76">
              <w:t>Оформлення одного рекомендованого листа по Україні, грн</w:t>
            </w:r>
          </w:p>
        </w:tc>
        <w:tc>
          <w:tcPr>
            <w:tcW w:w="798" w:type="pct"/>
            <w:vAlign w:val="center"/>
          </w:tcPr>
          <w:p w:rsidR="00EC0962" w:rsidRPr="00D37AD8" w:rsidRDefault="0044301B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 години</w:t>
            </w:r>
          </w:p>
        </w:tc>
        <w:tc>
          <w:tcPr>
            <w:tcW w:w="848" w:type="pct"/>
            <w:vAlign w:val="center"/>
          </w:tcPr>
          <w:p w:rsidR="00EC0962" w:rsidRPr="00D37AD8" w:rsidRDefault="0044301B" w:rsidP="00EC0962">
            <w:pPr>
              <w:spacing w:before="100" w:beforeAutospacing="1" w:after="100" w:afterAutospacing="1"/>
              <w:ind w:right="74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18,055</w:t>
            </w:r>
            <w:r w:rsidR="00616F4E">
              <w:rPr>
                <w:lang w:val="uk-UA" w:eastAsia="uk-UA"/>
              </w:rPr>
              <w:t xml:space="preserve"> грн.</w:t>
            </w:r>
          </w:p>
        </w:tc>
        <w:tc>
          <w:tcPr>
            <w:tcW w:w="757" w:type="pct"/>
            <w:vAlign w:val="center"/>
          </w:tcPr>
          <w:p w:rsidR="00EC0962" w:rsidRPr="00D37AD8" w:rsidRDefault="0044301B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93" w:type="pct"/>
            <w:vAlign w:val="center"/>
          </w:tcPr>
          <w:p w:rsidR="00EC0962" w:rsidRPr="00D37AD8" w:rsidRDefault="00AB36FD" w:rsidP="00AB36FD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3690</w:t>
            </w:r>
          </w:p>
        </w:tc>
        <w:tc>
          <w:tcPr>
            <w:tcW w:w="722" w:type="pct"/>
            <w:vAlign w:val="center"/>
          </w:tcPr>
          <w:p w:rsidR="00EC0962" w:rsidRPr="00AB36FD" w:rsidRDefault="00AB36FD" w:rsidP="00AB36FD">
            <w:pPr>
              <w:pStyle w:val="af3"/>
              <w:widowControl w:val="0"/>
              <w:spacing w:before="60" w:beforeAutospacing="0" w:after="0" w:afterAutospacing="0"/>
              <w:jc w:val="center"/>
              <w:rPr>
                <w:sz w:val="20"/>
                <w:szCs w:val="20"/>
              </w:rPr>
            </w:pPr>
            <w:r w:rsidRPr="00AB36FD">
              <w:rPr>
                <w:sz w:val="20"/>
                <w:szCs w:val="20"/>
              </w:rPr>
              <w:t>12 457,95</w:t>
            </w:r>
            <w:r w:rsidR="00EC0962" w:rsidRPr="00AB36FD">
              <w:rPr>
                <w:sz w:val="20"/>
                <w:szCs w:val="20"/>
              </w:rPr>
              <w:t xml:space="preserve"> грн</w:t>
            </w:r>
            <w:r w:rsidRPr="00AB36FD">
              <w:rPr>
                <w:sz w:val="20"/>
                <w:szCs w:val="20"/>
              </w:rPr>
              <w:t>.</w:t>
            </w:r>
          </w:p>
        </w:tc>
      </w:tr>
      <w:tr w:rsidR="00EC0962" w:rsidRPr="0071021A" w:rsidTr="00F5708E">
        <w:trPr>
          <w:jc w:val="center"/>
        </w:trPr>
        <w:tc>
          <w:tcPr>
            <w:tcW w:w="1382" w:type="pct"/>
          </w:tcPr>
          <w:p w:rsidR="00EC0962" w:rsidRPr="00461B76" w:rsidRDefault="00EC0962" w:rsidP="00EC0962">
            <w:pPr>
              <w:pStyle w:val="af3"/>
              <w:widowControl w:val="0"/>
              <w:spacing w:before="60" w:beforeAutospacing="0" w:after="0" w:afterAutospacing="0"/>
              <w:jc w:val="both"/>
            </w:pPr>
            <w:r w:rsidRPr="00461B76">
              <w:t>Відправлення листа – звернення</w:t>
            </w:r>
            <w:r>
              <w:t xml:space="preserve"> (в середньому - 0,5 години х 36,1</w:t>
            </w:r>
            <w:r w:rsidRPr="00461B76">
              <w:t xml:space="preserve">1 грн) </w:t>
            </w:r>
          </w:p>
        </w:tc>
        <w:tc>
          <w:tcPr>
            <w:tcW w:w="798" w:type="pct"/>
            <w:vAlign w:val="center"/>
          </w:tcPr>
          <w:p w:rsidR="00EC0962" w:rsidRPr="00D37AD8" w:rsidRDefault="0044301B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 години</w:t>
            </w:r>
          </w:p>
        </w:tc>
        <w:tc>
          <w:tcPr>
            <w:tcW w:w="848" w:type="pct"/>
            <w:vAlign w:val="center"/>
          </w:tcPr>
          <w:p w:rsidR="00EC0962" w:rsidRPr="00D37AD8" w:rsidRDefault="0044301B" w:rsidP="00EC0962">
            <w:pPr>
              <w:spacing w:before="100" w:beforeAutospacing="1" w:after="100" w:afterAutospacing="1"/>
              <w:ind w:right="74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18,055</w:t>
            </w:r>
            <w:r w:rsidR="00616F4E">
              <w:rPr>
                <w:lang w:val="uk-UA" w:eastAsia="uk-UA"/>
              </w:rPr>
              <w:t xml:space="preserve"> грн.</w:t>
            </w:r>
          </w:p>
        </w:tc>
        <w:tc>
          <w:tcPr>
            <w:tcW w:w="757" w:type="pct"/>
            <w:vAlign w:val="center"/>
          </w:tcPr>
          <w:p w:rsidR="00EC0962" w:rsidRPr="00D37AD8" w:rsidRDefault="0044301B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93" w:type="pct"/>
            <w:vAlign w:val="center"/>
          </w:tcPr>
          <w:p w:rsidR="00EC0962" w:rsidRPr="00D37AD8" w:rsidRDefault="00AB36FD" w:rsidP="00EC096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3690</w:t>
            </w:r>
          </w:p>
        </w:tc>
        <w:tc>
          <w:tcPr>
            <w:tcW w:w="722" w:type="pct"/>
            <w:vAlign w:val="center"/>
          </w:tcPr>
          <w:p w:rsidR="00EC0962" w:rsidRPr="00AB36FD" w:rsidRDefault="00AB36FD" w:rsidP="00AB36FD">
            <w:pPr>
              <w:pStyle w:val="af3"/>
              <w:widowControl w:val="0"/>
              <w:spacing w:before="60" w:beforeAutospacing="0" w:after="0" w:afterAutospacing="0"/>
              <w:jc w:val="center"/>
              <w:rPr>
                <w:sz w:val="20"/>
                <w:szCs w:val="20"/>
              </w:rPr>
            </w:pPr>
            <w:r w:rsidRPr="00AB36FD">
              <w:rPr>
                <w:sz w:val="20"/>
                <w:szCs w:val="20"/>
              </w:rPr>
              <w:t xml:space="preserve">12 457,95 </w:t>
            </w:r>
            <w:r w:rsidR="00EC0962" w:rsidRPr="00AB36FD">
              <w:rPr>
                <w:sz w:val="20"/>
                <w:szCs w:val="20"/>
              </w:rPr>
              <w:t>грн</w:t>
            </w:r>
            <w:r w:rsidRPr="00AB36FD">
              <w:rPr>
                <w:sz w:val="20"/>
                <w:szCs w:val="20"/>
              </w:rPr>
              <w:t>.</w:t>
            </w:r>
          </w:p>
        </w:tc>
      </w:tr>
    </w:tbl>
    <w:p w:rsidR="00327A17" w:rsidRDefault="00327A17" w:rsidP="00331B4A">
      <w:pPr>
        <w:pStyle w:val="10"/>
        <w:tabs>
          <w:tab w:val="left" w:pos="3600"/>
        </w:tabs>
        <w:rPr>
          <w:lang w:val="ru-RU"/>
        </w:rPr>
      </w:pPr>
    </w:p>
    <w:sectPr w:rsidR="00327A17" w:rsidSect="008569C3">
      <w:pgSz w:w="11906" w:h="16838"/>
      <w:pgMar w:top="1134" w:right="851" w:bottom="1985" w:left="1701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06" w:rsidRDefault="00410706" w:rsidP="00E31DD2">
      <w:r>
        <w:separator/>
      </w:r>
    </w:p>
  </w:endnote>
  <w:endnote w:type="continuationSeparator" w:id="0">
    <w:p w:rsidR="00410706" w:rsidRDefault="00410706" w:rsidP="00E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06" w:rsidRDefault="00410706" w:rsidP="00E31DD2">
      <w:r>
        <w:separator/>
      </w:r>
    </w:p>
  </w:footnote>
  <w:footnote w:type="continuationSeparator" w:id="0">
    <w:p w:rsidR="00410706" w:rsidRDefault="00410706" w:rsidP="00E31DD2">
      <w:r>
        <w:continuationSeparator/>
      </w:r>
    </w:p>
  </w:footnote>
  <w:footnote w:id="1">
    <w:p w:rsidR="00327A17" w:rsidRPr="000A155D" w:rsidRDefault="00327A17" w:rsidP="00327A17">
      <w:pPr>
        <w:pStyle w:val="af5"/>
        <w:rPr>
          <w:lang w:val="uk-UA"/>
        </w:rPr>
      </w:pPr>
      <w:r>
        <w:rPr>
          <w:rStyle w:val="af7"/>
        </w:rPr>
        <w:footnoteRef/>
      </w:r>
      <w:r>
        <w:t xml:space="preserve"> </w:t>
      </w:r>
      <w:r>
        <w:rPr>
          <w:lang w:val="uk-UA"/>
        </w:rPr>
        <w:t>Дія проєкту наказу однаково впливає на всіх суб’єктів господарювання незалежно від форми власності та рівня доходів.</w:t>
      </w:r>
    </w:p>
  </w:footnote>
  <w:footnote w:id="2">
    <w:p w:rsidR="00327A17" w:rsidRPr="00D92C7B" w:rsidRDefault="00327A17" w:rsidP="00327A17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lang w:val="uk-UA" w:eastAsia="x-none"/>
        </w:rPr>
        <w:t>М</w:t>
      </w:r>
      <w:r w:rsidRPr="00DB1011">
        <w:rPr>
          <w:lang w:val="uk-UA" w:eastAsia="x-none"/>
        </w:rPr>
        <w:t xml:space="preserve">інімальна погодинна заробітна плата в Україні станом на </w:t>
      </w:r>
      <w:r>
        <w:rPr>
          <w:lang w:val="uk-UA" w:eastAsia="x-none"/>
        </w:rPr>
        <w:t>01.01</w:t>
      </w:r>
      <w:r w:rsidRPr="00D92C7B">
        <w:rPr>
          <w:lang w:val="uk-UA" w:eastAsia="x-none"/>
        </w:rPr>
        <w:t>.20</w:t>
      </w:r>
      <w:r>
        <w:rPr>
          <w:lang w:val="uk-UA" w:eastAsia="x-none"/>
        </w:rPr>
        <w:t>21.</w:t>
      </w:r>
    </w:p>
  </w:footnote>
  <w:footnote w:id="3">
    <w:p w:rsidR="0071021A" w:rsidRPr="000A155D" w:rsidRDefault="0071021A" w:rsidP="00327A17">
      <w:pPr>
        <w:pStyle w:val="af5"/>
        <w:rPr>
          <w:lang w:val="uk-UA"/>
        </w:rPr>
      </w:pPr>
      <w:r>
        <w:rPr>
          <w:rStyle w:val="af7"/>
        </w:rPr>
        <w:footnoteRef/>
      </w:r>
      <w:r>
        <w:t xml:space="preserve"> </w:t>
      </w:r>
      <w:r>
        <w:rPr>
          <w:lang w:val="uk-UA"/>
        </w:rPr>
        <w:t>З 01.01.2020 вартість марки на відправку кореспонденції вагою понад 50 грам становить 13,50 грн.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A3" w:rsidRPr="00E65D89" w:rsidRDefault="005E1F91">
    <w:pPr>
      <w:pStyle w:val="10"/>
      <w:tabs>
        <w:tab w:val="center" w:pos="4677"/>
        <w:tab w:val="right" w:pos="9355"/>
      </w:tabs>
      <w:spacing w:before="709"/>
      <w:jc w:val="center"/>
      <w:rPr>
        <w:sz w:val="28"/>
        <w:szCs w:val="28"/>
      </w:rPr>
    </w:pPr>
    <w:r w:rsidRPr="00E65D89">
      <w:rPr>
        <w:sz w:val="28"/>
        <w:szCs w:val="28"/>
      </w:rPr>
      <w:fldChar w:fldCharType="begin"/>
    </w:r>
    <w:r w:rsidR="00386BA3" w:rsidRPr="00E65D89">
      <w:rPr>
        <w:sz w:val="28"/>
        <w:szCs w:val="28"/>
      </w:rPr>
      <w:instrText>PAGE</w:instrText>
    </w:r>
    <w:r w:rsidRPr="00E65D89">
      <w:rPr>
        <w:sz w:val="28"/>
        <w:szCs w:val="28"/>
      </w:rPr>
      <w:fldChar w:fldCharType="separate"/>
    </w:r>
    <w:r w:rsidR="003F6F62">
      <w:rPr>
        <w:noProof/>
        <w:sz w:val="28"/>
        <w:szCs w:val="28"/>
      </w:rPr>
      <w:t>3</w:t>
    </w:r>
    <w:r w:rsidRPr="00E65D89">
      <w:rPr>
        <w:noProof/>
        <w:sz w:val="28"/>
        <w:szCs w:val="28"/>
      </w:rPr>
      <w:fldChar w:fldCharType="end"/>
    </w:r>
  </w:p>
  <w:p w:rsidR="00386BA3" w:rsidRDefault="00386BA3">
    <w:pPr>
      <w:pStyle w:val="10"/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6446"/>
    <w:multiLevelType w:val="hybridMultilevel"/>
    <w:tmpl w:val="50BA80D4"/>
    <w:lvl w:ilvl="0" w:tplc="B008910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B0011"/>
    <w:multiLevelType w:val="hybridMultilevel"/>
    <w:tmpl w:val="B68A82A2"/>
    <w:lvl w:ilvl="0" w:tplc="1D7476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802E45"/>
    <w:multiLevelType w:val="multilevel"/>
    <w:tmpl w:val="FFFFFFFF"/>
    <w:lvl w:ilvl="0">
      <w:start w:val="1"/>
      <w:numFmt w:val="decimal"/>
      <w:lvlText w:val="%1."/>
      <w:lvlJc w:val="left"/>
      <w:pPr>
        <w:ind w:left="720" w:firstLine="180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cs="Times New Roman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D2"/>
    <w:rsid w:val="00002B23"/>
    <w:rsid w:val="00005F14"/>
    <w:rsid w:val="0000715D"/>
    <w:rsid w:val="0001204F"/>
    <w:rsid w:val="00013ACE"/>
    <w:rsid w:val="00021C94"/>
    <w:rsid w:val="000241B4"/>
    <w:rsid w:val="00024E2E"/>
    <w:rsid w:val="00032824"/>
    <w:rsid w:val="000370D3"/>
    <w:rsid w:val="00040975"/>
    <w:rsid w:val="000415FB"/>
    <w:rsid w:val="00050A95"/>
    <w:rsid w:val="000559E0"/>
    <w:rsid w:val="00064FC0"/>
    <w:rsid w:val="00065213"/>
    <w:rsid w:val="00070D0D"/>
    <w:rsid w:val="00086504"/>
    <w:rsid w:val="00092BA7"/>
    <w:rsid w:val="00095F8B"/>
    <w:rsid w:val="000A1632"/>
    <w:rsid w:val="000A377D"/>
    <w:rsid w:val="000A394E"/>
    <w:rsid w:val="000A3F39"/>
    <w:rsid w:val="000B1E96"/>
    <w:rsid w:val="000B7237"/>
    <w:rsid w:val="000C5381"/>
    <w:rsid w:val="000C6B84"/>
    <w:rsid w:val="000D0871"/>
    <w:rsid w:val="000D5299"/>
    <w:rsid w:val="000D5E37"/>
    <w:rsid w:val="000E4FBC"/>
    <w:rsid w:val="000E783D"/>
    <w:rsid w:val="000F42AA"/>
    <w:rsid w:val="00106C0D"/>
    <w:rsid w:val="00111595"/>
    <w:rsid w:val="00112C0D"/>
    <w:rsid w:val="0012433D"/>
    <w:rsid w:val="001305D1"/>
    <w:rsid w:val="00133326"/>
    <w:rsid w:val="00147230"/>
    <w:rsid w:val="0014798E"/>
    <w:rsid w:val="00160799"/>
    <w:rsid w:val="0016298E"/>
    <w:rsid w:val="00162C0B"/>
    <w:rsid w:val="00176993"/>
    <w:rsid w:val="00186887"/>
    <w:rsid w:val="001953A8"/>
    <w:rsid w:val="001A1862"/>
    <w:rsid w:val="001B49D7"/>
    <w:rsid w:val="001D3881"/>
    <w:rsid w:val="001D423C"/>
    <w:rsid w:val="001D548A"/>
    <w:rsid w:val="001E1290"/>
    <w:rsid w:val="001E709C"/>
    <w:rsid w:val="001E7C9C"/>
    <w:rsid w:val="001F1777"/>
    <w:rsid w:val="001F4A0B"/>
    <w:rsid w:val="002018AF"/>
    <w:rsid w:val="00211CB3"/>
    <w:rsid w:val="002352D9"/>
    <w:rsid w:val="00235E31"/>
    <w:rsid w:val="002440C7"/>
    <w:rsid w:val="00246C43"/>
    <w:rsid w:val="00247095"/>
    <w:rsid w:val="0025288B"/>
    <w:rsid w:val="00265F3D"/>
    <w:rsid w:val="0027152C"/>
    <w:rsid w:val="002719E7"/>
    <w:rsid w:val="00271FCE"/>
    <w:rsid w:val="00273BF2"/>
    <w:rsid w:val="002828EE"/>
    <w:rsid w:val="00282BE7"/>
    <w:rsid w:val="00282F03"/>
    <w:rsid w:val="00287140"/>
    <w:rsid w:val="00287A8C"/>
    <w:rsid w:val="00290C13"/>
    <w:rsid w:val="002918C4"/>
    <w:rsid w:val="002B7626"/>
    <w:rsid w:val="002C2986"/>
    <w:rsid w:val="002C2E91"/>
    <w:rsid w:val="002C2EC0"/>
    <w:rsid w:val="002C7BA3"/>
    <w:rsid w:val="002D0156"/>
    <w:rsid w:val="002D552A"/>
    <w:rsid w:val="002F250E"/>
    <w:rsid w:val="002F7AF7"/>
    <w:rsid w:val="00301C6C"/>
    <w:rsid w:val="00303FEC"/>
    <w:rsid w:val="003123C1"/>
    <w:rsid w:val="0031637B"/>
    <w:rsid w:val="0031682D"/>
    <w:rsid w:val="00322F5F"/>
    <w:rsid w:val="003234CB"/>
    <w:rsid w:val="00325D5C"/>
    <w:rsid w:val="00327A17"/>
    <w:rsid w:val="00327DF8"/>
    <w:rsid w:val="0033187E"/>
    <w:rsid w:val="00331B4A"/>
    <w:rsid w:val="0033325B"/>
    <w:rsid w:val="003464EE"/>
    <w:rsid w:val="00347A43"/>
    <w:rsid w:val="00357DA5"/>
    <w:rsid w:val="00371169"/>
    <w:rsid w:val="00386BA3"/>
    <w:rsid w:val="00393FEF"/>
    <w:rsid w:val="003A669C"/>
    <w:rsid w:val="003B2DE0"/>
    <w:rsid w:val="003B5C85"/>
    <w:rsid w:val="003B7C32"/>
    <w:rsid w:val="003C1F7E"/>
    <w:rsid w:val="003E0519"/>
    <w:rsid w:val="003E11A2"/>
    <w:rsid w:val="003F42E9"/>
    <w:rsid w:val="003F6F62"/>
    <w:rsid w:val="004027DF"/>
    <w:rsid w:val="00402935"/>
    <w:rsid w:val="00406FE0"/>
    <w:rsid w:val="00410706"/>
    <w:rsid w:val="00414832"/>
    <w:rsid w:val="0041635A"/>
    <w:rsid w:val="00421B6F"/>
    <w:rsid w:val="004270F2"/>
    <w:rsid w:val="00432580"/>
    <w:rsid w:val="004333B8"/>
    <w:rsid w:val="0044294A"/>
    <w:rsid w:val="0044301B"/>
    <w:rsid w:val="004472E8"/>
    <w:rsid w:val="0045515B"/>
    <w:rsid w:val="0046085A"/>
    <w:rsid w:val="00462428"/>
    <w:rsid w:val="00462D79"/>
    <w:rsid w:val="00481A24"/>
    <w:rsid w:val="004848A3"/>
    <w:rsid w:val="00497E6D"/>
    <w:rsid w:val="004A0684"/>
    <w:rsid w:val="004A5C02"/>
    <w:rsid w:val="004A7B5A"/>
    <w:rsid w:val="004D10F6"/>
    <w:rsid w:val="004D20DE"/>
    <w:rsid w:val="004E2489"/>
    <w:rsid w:val="004E66BC"/>
    <w:rsid w:val="004F1D22"/>
    <w:rsid w:val="004F27DC"/>
    <w:rsid w:val="004F3E6E"/>
    <w:rsid w:val="004F6DEB"/>
    <w:rsid w:val="00504D89"/>
    <w:rsid w:val="00515589"/>
    <w:rsid w:val="00517AD9"/>
    <w:rsid w:val="00535C3E"/>
    <w:rsid w:val="00536681"/>
    <w:rsid w:val="00542333"/>
    <w:rsid w:val="00546D00"/>
    <w:rsid w:val="005525C1"/>
    <w:rsid w:val="005531A3"/>
    <w:rsid w:val="00561D2B"/>
    <w:rsid w:val="005659F5"/>
    <w:rsid w:val="0056612B"/>
    <w:rsid w:val="00570947"/>
    <w:rsid w:val="00575BB1"/>
    <w:rsid w:val="005776EE"/>
    <w:rsid w:val="00581168"/>
    <w:rsid w:val="00594E1C"/>
    <w:rsid w:val="005A004D"/>
    <w:rsid w:val="005A7A19"/>
    <w:rsid w:val="005B0869"/>
    <w:rsid w:val="005D034D"/>
    <w:rsid w:val="005D21FC"/>
    <w:rsid w:val="005D64AD"/>
    <w:rsid w:val="005E1F91"/>
    <w:rsid w:val="005E608F"/>
    <w:rsid w:val="005E6E7E"/>
    <w:rsid w:val="005F4E67"/>
    <w:rsid w:val="005F643F"/>
    <w:rsid w:val="0060040F"/>
    <w:rsid w:val="0060478A"/>
    <w:rsid w:val="00605351"/>
    <w:rsid w:val="00611CE9"/>
    <w:rsid w:val="00616F4E"/>
    <w:rsid w:val="0062295C"/>
    <w:rsid w:val="00623603"/>
    <w:rsid w:val="00625A47"/>
    <w:rsid w:val="00632631"/>
    <w:rsid w:val="006660F9"/>
    <w:rsid w:val="00670967"/>
    <w:rsid w:val="00683E1A"/>
    <w:rsid w:val="00684A79"/>
    <w:rsid w:val="00687287"/>
    <w:rsid w:val="00692564"/>
    <w:rsid w:val="0069256E"/>
    <w:rsid w:val="006A3CD8"/>
    <w:rsid w:val="006C1013"/>
    <w:rsid w:val="006C5521"/>
    <w:rsid w:val="006D2B60"/>
    <w:rsid w:val="006E2697"/>
    <w:rsid w:val="006F11B9"/>
    <w:rsid w:val="0070066C"/>
    <w:rsid w:val="0071021A"/>
    <w:rsid w:val="00712587"/>
    <w:rsid w:val="00725DA4"/>
    <w:rsid w:val="0073030F"/>
    <w:rsid w:val="00730B7F"/>
    <w:rsid w:val="0075541B"/>
    <w:rsid w:val="007641D7"/>
    <w:rsid w:val="007656FA"/>
    <w:rsid w:val="0076626D"/>
    <w:rsid w:val="00773791"/>
    <w:rsid w:val="00777B3E"/>
    <w:rsid w:val="007808EB"/>
    <w:rsid w:val="00781C84"/>
    <w:rsid w:val="007A41B1"/>
    <w:rsid w:val="007A4A31"/>
    <w:rsid w:val="007B1200"/>
    <w:rsid w:val="007D653A"/>
    <w:rsid w:val="007D753F"/>
    <w:rsid w:val="007E4965"/>
    <w:rsid w:val="007F1A82"/>
    <w:rsid w:val="008147B4"/>
    <w:rsid w:val="0082666A"/>
    <w:rsid w:val="00836254"/>
    <w:rsid w:val="00841440"/>
    <w:rsid w:val="00844912"/>
    <w:rsid w:val="00855AB9"/>
    <w:rsid w:val="008569C3"/>
    <w:rsid w:val="00857D66"/>
    <w:rsid w:val="008649FC"/>
    <w:rsid w:val="00864A0D"/>
    <w:rsid w:val="00873CF2"/>
    <w:rsid w:val="008876C8"/>
    <w:rsid w:val="008928BB"/>
    <w:rsid w:val="00892D7A"/>
    <w:rsid w:val="00895AA7"/>
    <w:rsid w:val="008A0777"/>
    <w:rsid w:val="008A080C"/>
    <w:rsid w:val="008A1A3B"/>
    <w:rsid w:val="008B05C1"/>
    <w:rsid w:val="008B1D25"/>
    <w:rsid w:val="008B2CDF"/>
    <w:rsid w:val="008B4D7D"/>
    <w:rsid w:val="008C596C"/>
    <w:rsid w:val="008C76DB"/>
    <w:rsid w:val="008D2434"/>
    <w:rsid w:val="008D441C"/>
    <w:rsid w:val="008E142D"/>
    <w:rsid w:val="008F47BE"/>
    <w:rsid w:val="008F4930"/>
    <w:rsid w:val="00906BC7"/>
    <w:rsid w:val="00910943"/>
    <w:rsid w:val="00914589"/>
    <w:rsid w:val="009178A2"/>
    <w:rsid w:val="00924B3A"/>
    <w:rsid w:val="00931E6B"/>
    <w:rsid w:val="00934C93"/>
    <w:rsid w:val="00936AF6"/>
    <w:rsid w:val="0093775A"/>
    <w:rsid w:val="009501A1"/>
    <w:rsid w:val="009562BA"/>
    <w:rsid w:val="00964B5A"/>
    <w:rsid w:val="00965339"/>
    <w:rsid w:val="00966158"/>
    <w:rsid w:val="00974894"/>
    <w:rsid w:val="00974B00"/>
    <w:rsid w:val="009768E6"/>
    <w:rsid w:val="00985788"/>
    <w:rsid w:val="00985F29"/>
    <w:rsid w:val="009922E2"/>
    <w:rsid w:val="0099646A"/>
    <w:rsid w:val="009C3CF5"/>
    <w:rsid w:val="009C7F05"/>
    <w:rsid w:val="009D09D4"/>
    <w:rsid w:val="00A00BFC"/>
    <w:rsid w:val="00A0123C"/>
    <w:rsid w:val="00A012E5"/>
    <w:rsid w:val="00A0219B"/>
    <w:rsid w:val="00A14514"/>
    <w:rsid w:val="00A22436"/>
    <w:rsid w:val="00A22E82"/>
    <w:rsid w:val="00A23A93"/>
    <w:rsid w:val="00A30D38"/>
    <w:rsid w:val="00A4159D"/>
    <w:rsid w:val="00A46E1C"/>
    <w:rsid w:val="00A544DA"/>
    <w:rsid w:val="00A6265D"/>
    <w:rsid w:val="00A64D1A"/>
    <w:rsid w:val="00A7003A"/>
    <w:rsid w:val="00A71C5D"/>
    <w:rsid w:val="00A8681D"/>
    <w:rsid w:val="00A9426D"/>
    <w:rsid w:val="00A94756"/>
    <w:rsid w:val="00A95516"/>
    <w:rsid w:val="00AA4610"/>
    <w:rsid w:val="00AA79A0"/>
    <w:rsid w:val="00AB36FD"/>
    <w:rsid w:val="00AC32AA"/>
    <w:rsid w:val="00AD0A69"/>
    <w:rsid w:val="00AD684E"/>
    <w:rsid w:val="00AE135F"/>
    <w:rsid w:val="00AE3125"/>
    <w:rsid w:val="00AE35E8"/>
    <w:rsid w:val="00AE7F0A"/>
    <w:rsid w:val="00AF1728"/>
    <w:rsid w:val="00B02A28"/>
    <w:rsid w:val="00B158D2"/>
    <w:rsid w:val="00B20F47"/>
    <w:rsid w:val="00B44AB2"/>
    <w:rsid w:val="00B44E4B"/>
    <w:rsid w:val="00B61C9B"/>
    <w:rsid w:val="00B70D8C"/>
    <w:rsid w:val="00B72290"/>
    <w:rsid w:val="00B815FA"/>
    <w:rsid w:val="00B816B4"/>
    <w:rsid w:val="00BA08A3"/>
    <w:rsid w:val="00BA1336"/>
    <w:rsid w:val="00BA6EE9"/>
    <w:rsid w:val="00BA7727"/>
    <w:rsid w:val="00BB05E1"/>
    <w:rsid w:val="00BC2794"/>
    <w:rsid w:val="00BF3FF1"/>
    <w:rsid w:val="00BF40CD"/>
    <w:rsid w:val="00C001B0"/>
    <w:rsid w:val="00C05BDC"/>
    <w:rsid w:val="00C25660"/>
    <w:rsid w:val="00C3548F"/>
    <w:rsid w:val="00C52D0E"/>
    <w:rsid w:val="00C54822"/>
    <w:rsid w:val="00C6434C"/>
    <w:rsid w:val="00C72B59"/>
    <w:rsid w:val="00C7362B"/>
    <w:rsid w:val="00C76F4C"/>
    <w:rsid w:val="00C80229"/>
    <w:rsid w:val="00C80C0E"/>
    <w:rsid w:val="00C847DC"/>
    <w:rsid w:val="00C87653"/>
    <w:rsid w:val="00C87CB4"/>
    <w:rsid w:val="00C935E9"/>
    <w:rsid w:val="00C95FF8"/>
    <w:rsid w:val="00CA5BAF"/>
    <w:rsid w:val="00CB1C36"/>
    <w:rsid w:val="00CB1CDD"/>
    <w:rsid w:val="00CB470C"/>
    <w:rsid w:val="00CC0A89"/>
    <w:rsid w:val="00CC722A"/>
    <w:rsid w:val="00CD2818"/>
    <w:rsid w:val="00CD31D4"/>
    <w:rsid w:val="00CF6131"/>
    <w:rsid w:val="00D06404"/>
    <w:rsid w:val="00D0679C"/>
    <w:rsid w:val="00D06BE2"/>
    <w:rsid w:val="00D12ACE"/>
    <w:rsid w:val="00D21A4A"/>
    <w:rsid w:val="00D2627B"/>
    <w:rsid w:val="00D33894"/>
    <w:rsid w:val="00D36BE8"/>
    <w:rsid w:val="00D41EC0"/>
    <w:rsid w:val="00D431BF"/>
    <w:rsid w:val="00D47265"/>
    <w:rsid w:val="00D60D66"/>
    <w:rsid w:val="00D6323B"/>
    <w:rsid w:val="00D75B5D"/>
    <w:rsid w:val="00D75D0C"/>
    <w:rsid w:val="00D93E1C"/>
    <w:rsid w:val="00D976DD"/>
    <w:rsid w:val="00DA0964"/>
    <w:rsid w:val="00DA1635"/>
    <w:rsid w:val="00DB315D"/>
    <w:rsid w:val="00DB4AAB"/>
    <w:rsid w:val="00DB5723"/>
    <w:rsid w:val="00DC334C"/>
    <w:rsid w:val="00DC3627"/>
    <w:rsid w:val="00DD2574"/>
    <w:rsid w:val="00DD561B"/>
    <w:rsid w:val="00DD6F7E"/>
    <w:rsid w:val="00DE0281"/>
    <w:rsid w:val="00DF311F"/>
    <w:rsid w:val="00E00077"/>
    <w:rsid w:val="00E03243"/>
    <w:rsid w:val="00E04F31"/>
    <w:rsid w:val="00E27775"/>
    <w:rsid w:val="00E31DD2"/>
    <w:rsid w:val="00E34C85"/>
    <w:rsid w:val="00E3671B"/>
    <w:rsid w:val="00E37142"/>
    <w:rsid w:val="00E37A74"/>
    <w:rsid w:val="00E5445F"/>
    <w:rsid w:val="00E655CB"/>
    <w:rsid w:val="00E65D89"/>
    <w:rsid w:val="00E85474"/>
    <w:rsid w:val="00E8609D"/>
    <w:rsid w:val="00E93629"/>
    <w:rsid w:val="00E94ABD"/>
    <w:rsid w:val="00EB70EF"/>
    <w:rsid w:val="00EC0962"/>
    <w:rsid w:val="00EC4E3D"/>
    <w:rsid w:val="00EC6E17"/>
    <w:rsid w:val="00ED7352"/>
    <w:rsid w:val="00EE4685"/>
    <w:rsid w:val="00EE4C7C"/>
    <w:rsid w:val="00EF2E4B"/>
    <w:rsid w:val="00F037F5"/>
    <w:rsid w:val="00F04C29"/>
    <w:rsid w:val="00F06FD4"/>
    <w:rsid w:val="00F078FC"/>
    <w:rsid w:val="00F102D3"/>
    <w:rsid w:val="00F141E8"/>
    <w:rsid w:val="00F201E7"/>
    <w:rsid w:val="00F230F1"/>
    <w:rsid w:val="00F277FE"/>
    <w:rsid w:val="00F34FB8"/>
    <w:rsid w:val="00F410E4"/>
    <w:rsid w:val="00F45A07"/>
    <w:rsid w:val="00F5708E"/>
    <w:rsid w:val="00F620C3"/>
    <w:rsid w:val="00F758D5"/>
    <w:rsid w:val="00F923A7"/>
    <w:rsid w:val="00FA1EEE"/>
    <w:rsid w:val="00FA2F8D"/>
    <w:rsid w:val="00FB20DA"/>
    <w:rsid w:val="00FB2B49"/>
    <w:rsid w:val="00FC5379"/>
    <w:rsid w:val="00FC55A7"/>
    <w:rsid w:val="00FC6005"/>
    <w:rsid w:val="00FD7501"/>
    <w:rsid w:val="00FD7F7D"/>
    <w:rsid w:val="00FE0151"/>
    <w:rsid w:val="00FE41E1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61E33"/>
  <w15:docId w15:val="{9B88B638-B22E-4689-B418-EAAE20E8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4"/>
    <w:pPr>
      <w:widowControl w:val="0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E31DD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E31DD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E31DD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31DD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31DD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E31DD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135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135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135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135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135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135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E31DD2"/>
    <w:pPr>
      <w:widowControl w:val="0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E31DD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 Знак"/>
    <w:link w:val="a3"/>
    <w:uiPriority w:val="99"/>
    <w:locked/>
    <w:rsid w:val="00AE135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31DD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link w:val="a5"/>
    <w:uiPriority w:val="99"/>
    <w:locked/>
    <w:rsid w:val="00AE135F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E31DD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5659F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5659F5"/>
    <w:rPr>
      <w:rFonts w:ascii="Tahoma" w:hAnsi="Tahoma" w:cs="Tahoma"/>
      <w:color w:val="000000"/>
      <w:sz w:val="16"/>
      <w:szCs w:val="16"/>
    </w:rPr>
  </w:style>
  <w:style w:type="paragraph" w:styleId="22">
    <w:name w:val="Body Text 2"/>
    <w:basedOn w:val="a"/>
    <w:link w:val="23"/>
    <w:uiPriority w:val="99"/>
    <w:rsid w:val="005659F5"/>
    <w:pPr>
      <w:widowControl/>
      <w:spacing w:after="120" w:line="480" w:lineRule="auto"/>
    </w:pPr>
    <w:rPr>
      <w:color w:val="auto"/>
      <w:sz w:val="24"/>
      <w:szCs w:val="24"/>
      <w:lang w:val="ru-RU" w:eastAsia="ru-RU"/>
    </w:rPr>
  </w:style>
  <w:style w:type="character" w:customStyle="1" w:styleId="23">
    <w:name w:val="Основний текст 2 Знак"/>
    <w:link w:val="22"/>
    <w:uiPriority w:val="99"/>
    <w:locked/>
    <w:rsid w:val="005659F5"/>
    <w:rPr>
      <w:rFonts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5659F5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565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uk-UA" w:eastAsia="uk-UA"/>
    </w:rPr>
  </w:style>
  <w:style w:type="character" w:customStyle="1" w:styleId="HTML0">
    <w:name w:val="Стандартний HTML Знак"/>
    <w:link w:val="HTML"/>
    <w:uiPriority w:val="99"/>
    <w:locked/>
    <w:rsid w:val="005659F5"/>
    <w:rPr>
      <w:rFonts w:ascii="Courier New" w:hAnsi="Courier New" w:cs="Courier New"/>
      <w:sz w:val="20"/>
      <w:szCs w:val="20"/>
      <w:lang w:val="uk-UA" w:eastAsia="uk-UA"/>
    </w:rPr>
  </w:style>
  <w:style w:type="paragraph" w:styleId="aa">
    <w:name w:val="endnote text"/>
    <w:basedOn w:val="a"/>
    <w:link w:val="ab"/>
    <w:uiPriority w:val="99"/>
    <w:semiHidden/>
    <w:unhideWhenUsed/>
    <w:rsid w:val="000415FB"/>
  </w:style>
  <w:style w:type="character" w:customStyle="1" w:styleId="ab">
    <w:name w:val="Текст кінцевої виноски Знак"/>
    <w:link w:val="aa"/>
    <w:uiPriority w:val="99"/>
    <w:semiHidden/>
    <w:rsid w:val="000415FB"/>
    <w:rPr>
      <w:color w:val="000000"/>
    </w:rPr>
  </w:style>
  <w:style w:type="character" w:styleId="ac">
    <w:name w:val="endnote reference"/>
    <w:uiPriority w:val="99"/>
    <w:semiHidden/>
    <w:unhideWhenUsed/>
    <w:rsid w:val="000415FB"/>
    <w:rPr>
      <w:vertAlign w:val="superscript"/>
    </w:rPr>
  </w:style>
  <w:style w:type="paragraph" w:styleId="ad">
    <w:name w:val="List Paragraph"/>
    <w:basedOn w:val="a"/>
    <w:uiPriority w:val="34"/>
    <w:qFormat/>
    <w:rsid w:val="000B723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E65D89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E65D8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65D89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E65D89"/>
    <w:rPr>
      <w:color w:val="000000"/>
    </w:rPr>
  </w:style>
  <w:style w:type="character" w:styleId="af2">
    <w:name w:val="Hyperlink"/>
    <w:basedOn w:val="a0"/>
    <w:uiPriority w:val="99"/>
    <w:unhideWhenUsed/>
    <w:rsid w:val="00347A43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C54822"/>
    <w:pPr>
      <w:widowControl/>
      <w:spacing w:after="160" w:line="259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f4"/>
    <w:uiPriority w:val="99"/>
    <w:rsid w:val="00D0679C"/>
    <w:pPr>
      <w:widowControl/>
      <w:spacing w:before="100" w:beforeAutospacing="1" w:after="100" w:afterAutospacing="1"/>
    </w:pPr>
    <w:rPr>
      <w:color w:val="auto"/>
      <w:sz w:val="24"/>
      <w:szCs w:val="24"/>
      <w:lang w:val="uk-UA" w:eastAsia="ru-RU"/>
    </w:rPr>
  </w:style>
  <w:style w:type="character" w:customStyle="1" w:styleId="af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f3"/>
    <w:uiPriority w:val="99"/>
    <w:rsid w:val="00D0679C"/>
    <w:rPr>
      <w:sz w:val="24"/>
      <w:szCs w:val="24"/>
      <w:lang w:val="uk-UA" w:eastAsia="ru-RU"/>
    </w:rPr>
  </w:style>
  <w:style w:type="paragraph" w:styleId="af5">
    <w:name w:val="footnote text"/>
    <w:basedOn w:val="a"/>
    <w:link w:val="af6"/>
    <w:unhideWhenUsed/>
    <w:rsid w:val="00D0679C"/>
    <w:pPr>
      <w:widowControl/>
    </w:pPr>
    <w:rPr>
      <w:color w:val="auto"/>
      <w:lang w:val="ru-RU" w:eastAsia="ru-RU"/>
    </w:rPr>
  </w:style>
  <w:style w:type="character" w:customStyle="1" w:styleId="af6">
    <w:name w:val="Текст виноски Знак"/>
    <w:basedOn w:val="a0"/>
    <w:link w:val="af5"/>
    <w:rsid w:val="00D0679C"/>
    <w:rPr>
      <w:lang w:val="ru-RU" w:eastAsia="ru-RU"/>
    </w:rPr>
  </w:style>
  <w:style w:type="character" w:styleId="af7">
    <w:name w:val="footnote reference"/>
    <w:unhideWhenUsed/>
    <w:rsid w:val="00D0679C"/>
    <w:rPr>
      <w:vertAlign w:val="superscript"/>
    </w:rPr>
  </w:style>
  <w:style w:type="paragraph" w:customStyle="1" w:styleId="rvps14">
    <w:name w:val="rvps14"/>
    <w:basedOn w:val="a"/>
    <w:rsid w:val="0071021A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82">
    <w:name w:val="rvts82"/>
    <w:rsid w:val="0071021A"/>
  </w:style>
  <w:style w:type="character" w:customStyle="1" w:styleId="rvts0">
    <w:name w:val="rvts0"/>
    <w:rsid w:val="0071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98-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98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2C1D-E20F-4A2B-8EB5-198D9FEE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12861</Words>
  <Characters>7331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user</dc:creator>
  <cp:keywords/>
  <dc:description/>
  <cp:lastModifiedBy>ПОЛІЩУК Анна В’ячеславівна</cp:lastModifiedBy>
  <cp:revision>9</cp:revision>
  <cp:lastPrinted>2021-02-19T10:04:00Z</cp:lastPrinted>
  <dcterms:created xsi:type="dcterms:W3CDTF">2021-02-23T15:48:00Z</dcterms:created>
  <dcterms:modified xsi:type="dcterms:W3CDTF">2021-02-24T14:37:00Z</dcterms:modified>
</cp:coreProperties>
</file>