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6B" w:rsidRPr="00A35A6B" w:rsidRDefault="00A35A6B" w:rsidP="00175C73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пояснюваль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записки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до проекту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наказу</w:t>
      </w:r>
    </w:p>
    <w:p w:rsidR="00A35A6B" w:rsidRPr="00A35A6B" w:rsidRDefault="00A35A6B" w:rsidP="008E0B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870FA3" w:rsidRPr="00870FA3" w:rsidRDefault="00973533" w:rsidP="00870F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973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ПРОГНОЗ ВПЛИВУ</w:t>
      </w:r>
      <w:r w:rsidRPr="00973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735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bookmarkStart w:id="1" w:name="n1760"/>
      <w:bookmarkEnd w:id="1"/>
      <w:r w:rsidR="008E0BBB" w:rsidRPr="008E0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до проекту наказу </w:t>
      </w:r>
      <w:proofErr w:type="spellStart"/>
      <w:r w:rsidR="008E0BBB" w:rsidRPr="008E0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Міністерства</w:t>
      </w:r>
      <w:proofErr w:type="spellEnd"/>
      <w:r w:rsidR="008E0BBB" w:rsidRPr="008E0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4A5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розвитку економіки, торгівлі та сільського господарства </w:t>
      </w:r>
      <w:proofErr w:type="spellStart"/>
      <w:r w:rsidR="008E0BBB" w:rsidRPr="008E0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України</w:t>
      </w:r>
      <w:proofErr w:type="spellEnd"/>
      <w:r w:rsidR="008E0BBB" w:rsidRPr="008E0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A35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“</w:t>
      </w:r>
      <w:r w:rsidR="00870FA3" w:rsidRPr="00870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Про </w:t>
      </w:r>
      <w:proofErr w:type="spellStart"/>
      <w:r w:rsidR="00870FA3" w:rsidRPr="00870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затвердження</w:t>
      </w:r>
      <w:proofErr w:type="spellEnd"/>
      <w:r w:rsidR="00870FA3" w:rsidRPr="00870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форм </w:t>
      </w:r>
    </w:p>
    <w:p w:rsidR="008E0BBB" w:rsidRDefault="00870FA3" w:rsidP="00870F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сертифікатів</w:t>
      </w:r>
      <w:proofErr w:type="spellEnd"/>
      <w:r w:rsidR="00A35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”</w:t>
      </w:r>
    </w:p>
    <w:p w:rsidR="008E0BBB" w:rsidRDefault="008E0BBB" w:rsidP="008E0B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8E0BBB" w:rsidRDefault="008E0BBB" w:rsidP="008E0B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Проект наказу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визначає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вимоги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підконтрольних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Держпродспоживслужбі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вантажів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основі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ризик-орієнтовного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підходу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урахуванням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вимог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європейського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</w:t>
      </w:r>
      <w:r w:rsidR="0038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нодавства</w:t>
      </w:r>
      <w:proofErr w:type="spellEnd"/>
      <w:r w:rsidR="0038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38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рекомендацій</w:t>
      </w:r>
      <w:proofErr w:type="spellEnd"/>
      <w:r w:rsidR="0038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8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Всесвітньої</w:t>
      </w:r>
      <w:proofErr w:type="spellEnd"/>
      <w:r w:rsidR="0038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8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організації</w:t>
      </w:r>
      <w:proofErr w:type="spellEnd"/>
      <w:r w:rsidR="0038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8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="0038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8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здоров’я</w:t>
      </w:r>
      <w:proofErr w:type="spellEnd"/>
      <w:r w:rsidR="0038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8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тварин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Зокрема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застосовуються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принципи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регіоналізації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зонування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компартменталізації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еквівалентності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цілей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міжнародної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торгівлі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передбачених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Угодою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застосування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санітарних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фітосанітарних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заходів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Угодою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асоціацію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між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Україною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з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однієї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сторони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та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Європейським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Союзом,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Європейським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співтовариством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атомної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енергії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їхніми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державами-членами, з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іншої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сторони</w:t>
      </w:r>
      <w:proofErr w:type="spellEnd"/>
      <w:r w:rsidRPr="008E0B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E0BBB" w:rsidRDefault="008E0BBB" w:rsidP="008E0B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3"/>
        <w:tblW w:w="11006" w:type="dxa"/>
        <w:tblInd w:w="-688" w:type="dxa"/>
        <w:tblLook w:val="04A0" w:firstRow="1" w:lastRow="0" w:firstColumn="1" w:lastColumn="0" w:noHBand="0" w:noVBand="1"/>
      </w:tblPr>
      <w:tblGrid>
        <w:gridCol w:w="2766"/>
        <w:gridCol w:w="1676"/>
        <w:gridCol w:w="2185"/>
        <w:gridCol w:w="2301"/>
        <w:gridCol w:w="2078"/>
      </w:tblGrid>
      <w:tr w:rsidR="003805D9" w:rsidRPr="008952B8" w:rsidTr="00412C3B">
        <w:tc>
          <w:tcPr>
            <w:tcW w:w="2766" w:type="dxa"/>
            <w:vMerge w:val="restart"/>
          </w:tcPr>
          <w:p w:rsidR="008E0BBB" w:rsidRPr="008952B8" w:rsidRDefault="008E0BBB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Заінтересована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сторона</w:t>
            </w:r>
          </w:p>
        </w:tc>
        <w:tc>
          <w:tcPr>
            <w:tcW w:w="1676" w:type="dxa"/>
            <w:vMerge w:val="restart"/>
          </w:tcPr>
          <w:p w:rsidR="008E0BBB" w:rsidRPr="008952B8" w:rsidRDefault="008E0BBB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Ключовий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інтерес</w:t>
            </w:r>
            <w:proofErr w:type="spellEnd"/>
          </w:p>
        </w:tc>
        <w:tc>
          <w:tcPr>
            <w:tcW w:w="4486" w:type="dxa"/>
            <w:gridSpan w:val="2"/>
          </w:tcPr>
          <w:p w:rsidR="000714CD" w:rsidRPr="008952B8" w:rsidRDefault="008E0BBB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Очікуваний</w:t>
            </w:r>
            <w:proofErr w:type="spellEnd"/>
          </w:p>
          <w:p w:rsidR="000714CD" w:rsidRPr="008952B8" w:rsidRDefault="008E0BBB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позитивний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негативний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вплив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ключовий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інтерес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передбачуваної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динаміки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основних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показників</w:t>
            </w:r>
            <w:proofErr w:type="spellEnd"/>
          </w:p>
          <w:p w:rsidR="008E0BBB" w:rsidRPr="008952B8" w:rsidRDefault="008E0BBB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(у числовому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якісному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вимірі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078" w:type="dxa"/>
          </w:tcPr>
          <w:p w:rsidR="008E0BBB" w:rsidRPr="008952B8" w:rsidRDefault="008E0BBB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Пояснення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чому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саме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реалізація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акта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призведе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впливу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3805D9" w:rsidRPr="008952B8" w:rsidTr="00412C3B">
        <w:tc>
          <w:tcPr>
            <w:tcW w:w="2766" w:type="dxa"/>
            <w:vMerge/>
          </w:tcPr>
          <w:p w:rsidR="008E0BBB" w:rsidRPr="008952B8" w:rsidRDefault="008E0BBB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vMerge/>
          </w:tcPr>
          <w:p w:rsidR="008E0BBB" w:rsidRPr="008952B8" w:rsidRDefault="008E0BBB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</w:tcPr>
          <w:p w:rsidR="008E0BBB" w:rsidRPr="008952B8" w:rsidRDefault="000714CD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Короткостроковий</w:t>
            </w:r>
            <w:proofErr w:type="spellEnd"/>
          </w:p>
          <w:p w:rsidR="000714CD" w:rsidRPr="008952B8" w:rsidRDefault="000714CD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вплив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(до року)</w:t>
            </w:r>
          </w:p>
        </w:tc>
        <w:tc>
          <w:tcPr>
            <w:tcW w:w="2301" w:type="dxa"/>
          </w:tcPr>
          <w:p w:rsidR="008E0BBB" w:rsidRPr="008952B8" w:rsidRDefault="000714CD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Середньостроковий</w:t>
            </w:r>
            <w:proofErr w:type="spellEnd"/>
          </w:p>
          <w:p w:rsidR="000714CD" w:rsidRPr="008952B8" w:rsidRDefault="000714CD" w:rsidP="000714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вплив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(до року)</w:t>
            </w:r>
          </w:p>
        </w:tc>
        <w:tc>
          <w:tcPr>
            <w:tcW w:w="2078" w:type="dxa"/>
          </w:tcPr>
          <w:p w:rsidR="008E0BBB" w:rsidRPr="008952B8" w:rsidRDefault="008E0BBB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05D9" w:rsidRPr="008952B8" w:rsidTr="00412C3B">
        <w:tc>
          <w:tcPr>
            <w:tcW w:w="2766" w:type="dxa"/>
          </w:tcPr>
          <w:p w:rsidR="008E0BBB" w:rsidRPr="008952B8" w:rsidRDefault="000714CD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Іноземні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виробники</w:t>
            </w:r>
            <w:proofErr w:type="spellEnd"/>
          </w:p>
        </w:tc>
        <w:tc>
          <w:tcPr>
            <w:tcW w:w="1676" w:type="dxa"/>
          </w:tcPr>
          <w:p w:rsidR="008E0BBB" w:rsidRPr="008952B8" w:rsidRDefault="000714CD" w:rsidP="000714C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українських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міжнародним</w:t>
            </w:r>
            <w:proofErr w:type="spellEnd"/>
          </w:p>
        </w:tc>
        <w:tc>
          <w:tcPr>
            <w:tcW w:w="2185" w:type="dxa"/>
          </w:tcPr>
          <w:p w:rsidR="008E0BBB" w:rsidRPr="008952B8" w:rsidRDefault="000714CD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Позитивний</w:t>
            </w:r>
            <w:proofErr w:type="spellEnd"/>
          </w:p>
        </w:tc>
        <w:tc>
          <w:tcPr>
            <w:tcW w:w="2301" w:type="dxa"/>
          </w:tcPr>
          <w:p w:rsidR="008E0BBB" w:rsidRPr="008952B8" w:rsidRDefault="000714CD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Позитивний</w:t>
            </w:r>
            <w:proofErr w:type="spellEnd"/>
          </w:p>
        </w:tc>
        <w:tc>
          <w:tcPr>
            <w:tcW w:w="2078" w:type="dxa"/>
          </w:tcPr>
          <w:p w:rsidR="008E0BBB" w:rsidRPr="008952B8" w:rsidRDefault="008952B8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Зрозумілість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міжнародному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законодавсту</w:t>
            </w:r>
            <w:proofErr w:type="spellEnd"/>
          </w:p>
        </w:tc>
      </w:tr>
      <w:tr w:rsidR="003805D9" w:rsidRPr="008952B8" w:rsidTr="00412C3B">
        <w:tc>
          <w:tcPr>
            <w:tcW w:w="2766" w:type="dxa"/>
          </w:tcPr>
          <w:p w:rsidR="008E0BBB" w:rsidRPr="008952B8" w:rsidRDefault="000714CD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Імпортери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76" w:type="dxa"/>
          </w:tcPr>
          <w:p w:rsidR="008E0BBB" w:rsidRPr="008952B8" w:rsidRDefault="000714CD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Зрозумілі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умови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здійснення</w:t>
            </w:r>
            <w:proofErr w:type="spellEnd"/>
            <w:r w:rsidR="0038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торгівлі</w:t>
            </w:r>
            <w:proofErr w:type="spellEnd"/>
          </w:p>
        </w:tc>
        <w:tc>
          <w:tcPr>
            <w:tcW w:w="2185" w:type="dxa"/>
          </w:tcPr>
          <w:p w:rsidR="008E0BBB" w:rsidRPr="008952B8" w:rsidRDefault="000714CD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Негативний</w:t>
            </w:r>
            <w:proofErr w:type="spellEnd"/>
          </w:p>
        </w:tc>
        <w:tc>
          <w:tcPr>
            <w:tcW w:w="2301" w:type="dxa"/>
          </w:tcPr>
          <w:p w:rsidR="008E0BBB" w:rsidRPr="008952B8" w:rsidRDefault="000714CD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Позитивний</w:t>
            </w:r>
            <w:proofErr w:type="spellEnd"/>
          </w:p>
        </w:tc>
        <w:tc>
          <w:tcPr>
            <w:tcW w:w="2078" w:type="dxa"/>
          </w:tcPr>
          <w:p w:rsidR="008E0BBB" w:rsidRPr="008952B8" w:rsidRDefault="007863DA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короткостроковій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перспективі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952B8"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8952B8"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тивний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вплив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приведення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діючих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міжнародних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ветеринарних</w:t>
            </w:r>
            <w:proofErr w:type="spellEnd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сертифікатів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нових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863DA" w:rsidRPr="008952B8" w:rsidRDefault="007863DA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подальшому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позитивний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вплив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завдяки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лібералізації</w:t>
            </w:r>
            <w:proofErr w:type="spellEnd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підходів</w:t>
            </w:r>
            <w:proofErr w:type="spellEnd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застосування</w:t>
            </w:r>
            <w:proofErr w:type="spellEnd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ввезення</w:t>
            </w:r>
            <w:proofErr w:type="spellEnd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митну</w:t>
            </w:r>
            <w:proofErr w:type="spellEnd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територію</w:t>
            </w:r>
            <w:proofErr w:type="spellEnd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1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підконтрольних</w:t>
            </w:r>
            <w:proofErr w:type="spellEnd"/>
            <w:r w:rsidR="0041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1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вантажів</w:t>
            </w:r>
            <w:proofErr w:type="spellEnd"/>
            <w:r w:rsidR="0041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41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зняття</w:t>
            </w:r>
            <w:proofErr w:type="spellEnd"/>
            <w:r w:rsidR="0041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1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необгрунтованих</w:t>
            </w:r>
            <w:proofErr w:type="spellEnd"/>
            <w:r w:rsidR="0041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1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обмежень</w:t>
            </w:r>
            <w:proofErr w:type="spellEnd"/>
          </w:p>
        </w:tc>
      </w:tr>
      <w:tr w:rsidR="003805D9" w:rsidRPr="008952B8" w:rsidTr="00412C3B">
        <w:tc>
          <w:tcPr>
            <w:tcW w:w="2766" w:type="dxa"/>
          </w:tcPr>
          <w:p w:rsidR="003805D9" w:rsidRPr="008952B8" w:rsidRDefault="003805D9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Держпродспоживслужба</w:t>
            </w:r>
            <w:proofErr w:type="spellEnd"/>
          </w:p>
        </w:tc>
        <w:tc>
          <w:tcPr>
            <w:tcW w:w="1676" w:type="dxa"/>
          </w:tcPr>
          <w:p w:rsidR="003805D9" w:rsidRPr="008952B8" w:rsidRDefault="003805D9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гармонізації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вітчизняного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міжнародних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</w:p>
        </w:tc>
        <w:tc>
          <w:tcPr>
            <w:tcW w:w="2185" w:type="dxa"/>
          </w:tcPr>
          <w:p w:rsidR="003805D9" w:rsidRPr="008952B8" w:rsidRDefault="007B6E33" w:rsidP="007B6E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Позитивний</w:t>
            </w:r>
            <w:proofErr w:type="spellEnd"/>
          </w:p>
        </w:tc>
        <w:tc>
          <w:tcPr>
            <w:tcW w:w="2301" w:type="dxa"/>
          </w:tcPr>
          <w:p w:rsidR="003805D9" w:rsidRPr="008952B8" w:rsidRDefault="003805D9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78" w:type="dxa"/>
          </w:tcPr>
          <w:p w:rsidR="007B6E33" w:rsidRPr="007B6E33" w:rsidRDefault="007B6E33" w:rsidP="007B6E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зобовязань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Угодою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асоціацію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між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Україною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з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однієї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сторони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Європейським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Союзом,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Європейським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Співтовариством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атомної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енергії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їхніми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державами-членами, </w:t>
            </w:r>
          </w:p>
          <w:p w:rsidR="007B6E33" w:rsidRPr="007B6E33" w:rsidRDefault="007B6E33" w:rsidP="007B6E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схваленої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розпорядженням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B6E33" w:rsidRPr="008952B8" w:rsidRDefault="007B6E33" w:rsidP="007B6E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7B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лютого 2016 р. № 228-р.</w:t>
            </w:r>
          </w:p>
        </w:tc>
      </w:tr>
      <w:tr w:rsidR="003805D9" w:rsidRPr="008952B8" w:rsidTr="00412C3B">
        <w:tc>
          <w:tcPr>
            <w:tcW w:w="2766" w:type="dxa"/>
          </w:tcPr>
          <w:p w:rsidR="000714CD" w:rsidRPr="008952B8" w:rsidRDefault="000714CD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Споживачі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76" w:type="dxa"/>
          </w:tcPr>
          <w:p w:rsidR="000714CD" w:rsidRPr="008952B8" w:rsidRDefault="000714CD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Безпечність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якість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імпортних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</w:p>
        </w:tc>
        <w:tc>
          <w:tcPr>
            <w:tcW w:w="2185" w:type="dxa"/>
          </w:tcPr>
          <w:p w:rsidR="000714CD" w:rsidRPr="008952B8" w:rsidRDefault="000714CD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Позитивний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01" w:type="dxa"/>
          </w:tcPr>
          <w:p w:rsidR="000714CD" w:rsidRPr="008952B8" w:rsidRDefault="000714CD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Позитивний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78" w:type="dxa"/>
          </w:tcPr>
          <w:p w:rsidR="000714CD" w:rsidRPr="008952B8" w:rsidRDefault="007863DA" w:rsidP="008E0B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 на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ринок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безпечних</w:t>
            </w:r>
            <w:proofErr w:type="spellEnd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відповідають</w:t>
            </w:r>
            <w:proofErr w:type="spellEnd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міжнародним</w:t>
            </w:r>
            <w:proofErr w:type="spellEnd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вимогам</w:t>
            </w:r>
            <w:proofErr w:type="spellEnd"/>
          </w:p>
        </w:tc>
      </w:tr>
    </w:tbl>
    <w:p w:rsidR="008E0BBB" w:rsidRPr="008952B8" w:rsidRDefault="008E0BBB" w:rsidP="000714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8E0BBB" w:rsidRPr="008952B8" w:rsidSect="00A35A6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31"/>
    <w:rsid w:val="000714CD"/>
    <w:rsid w:val="000E30B6"/>
    <w:rsid w:val="00175C73"/>
    <w:rsid w:val="00237F6B"/>
    <w:rsid w:val="003805D9"/>
    <w:rsid w:val="00412C3B"/>
    <w:rsid w:val="004A56C8"/>
    <w:rsid w:val="00636ECE"/>
    <w:rsid w:val="006A4031"/>
    <w:rsid w:val="006A57ED"/>
    <w:rsid w:val="007863DA"/>
    <w:rsid w:val="007B6E33"/>
    <w:rsid w:val="008315F2"/>
    <w:rsid w:val="00870FA3"/>
    <w:rsid w:val="008952B8"/>
    <w:rsid w:val="008E0BBB"/>
    <w:rsid w:val="009356E9"/>
    <w:rsid w:val="00973533"/>
    <w:rsid w:val="00A35A6B"/>
    <w:rsid w:val="00C45E46"/>
    <w:rsid w:val="00CC5C4E"/>
    <w:rsid w:val="00C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F31EA-BA0B-4A58-8222-C32D82E8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80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5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1423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Мороз</dc:creator>
  <cp:keywords/>
  <dc:description/>
  <cp:lastModifiedBy>ПОЛІЩУК Анна В’ячеславівна</cp:lastModifiedBy>
  <cp:revision>2</cp:revision>
  <cp:lastPrinted>2020-01-29T09:38:00Z</cp:lastPrinted>
  <dcterms:created xsi:type="dcterms:W3CDTF">2020-06-16T14:11:00Z</dcterms:created>
  <dcterms:modified xsi:type="dcterms:W3CDTF">2020-06-16T14:11:00Z</dcterms:modified>
</cp:coreProperties>
</file>