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71180" w14:textId="77777777" w:rsidR="00AD0808" w:rsidRPr="003F63A1" w:rsidRDefault="00AD0808" w:rsidP="00AD0808">
      <w:pPr>
        <w:pStyle w:val="VBBTitlepage"/>
        <w:rPr>
          <w:rFonts w:ascii="Times New Roman" w:eastAsia="Verdana" w:hAnsi="Times New Roman"/>
          <w:sz w:val="26"/>
          <w:szCs w:val="26"/>
        </w:rPr>
      </w:pPr>
      <w:r w:rsidRPr="003F63A1">
        <w:rPr>
          <w:rFonts w:ascii="Times New Roman" w:eastAsia="Verdana" w:hAnsi="Times New Roman"/>
          <w:sz w:val="26"/>
          <w:szCs w:val="26"/>
        </w:rPr>
        <w:t xml:space="preserve">Arbitration Panel established pursuant to Article 307 </w:t>
      </w:r>
      <w:r w:rsidRPr="00FC59BC">
        <w:rPr>
          <w:rFonts w:ascii="Times New Roman" w:hAnsi="Times New Roman"/>
          <w:sz w:val="26"/>
          <w:szCs w:val="26"/>
        </w:rPr>
        <w:br/>
      </w:r>
      <w:r w:rsidRPr="003F63A1">
        <w:rPr>
          <w:rFonts w:ascii="Times New Roman" w:eastAsia="Verdana" w:hAnsi="Times New Roman"/>
          <w:sz w:val="26"/>
          <w:szCs w:val="26"/>
        </w:rPr>
        <w:t>of the Association Agreement between Ukraine, of the one part, and the European Union and its Member States, of the other part</w:t>
      </w:r>
    </w:p>
    <w:p w14:paraId="187732C2" w14:textId="77777777" w:rsidR="00AD0808" w:rsidRPr="003F63A1" w:rsidRDefault="00AD0808" w:rsidP="00AD0808">
      <w:pPr>
        <w:pStyle w:val="VBBTitlepage"/>
        <w:rPr>
          <w:rFonts w:ascii="Times New Roman" w:hAnsi="Times New Roman"/>
          <w:b/>
          <w:i/>
          <w:sz w:val="26"/>
          <w:szCs w:val="26"/>
        </w:rPr>
      </w:pPr>
    </w:p>
    <w:p w14:paraId="2FE2F0C7" w14:textId="77777777" w:rsidR="00AD0808" w:rsidRPr="003F63A1" w:rsidRDefault="00AD0808" w:rsidP="00AD0808">
      <w:pPr>
        <w:pStyle w:val="VBBTitlepage"/>
        <w:rPr>
          <w:rFonts w:ascii="Times New Roman" w:hAnsi="Times New Roman"/>
          <w:b/>
          <w:i/>
          <w:sz w:val="26"/>
          <w:szCs w:val="26"/>
        </w:rPr>
      </w:pPr>
    </w:p>
    <w:p w14:paraId="303BD3E4" w14:textId="77777777" w:rsidR="00AD0808" w:rsidRPr="003F63A1" w:rsidRDefault="00AD0808" w:rsidP="00AD0808">
      <w:pPr>
        <w:pStyle w:val="VBBTitlepage"/>
        <w:rPr>
          <w:rFonts w:ascii="Times New Roman" w:hAnsi="Times New Roman"/>
          <w:b/>
          <w:i/>
          <w:sz w:val="26"/>
          <w:szCs w:val="26"/>
        </w:rPr>
      </w:pPr>
    </w:p>
    <w:p w14:paraId="023CA441" w14:textId="77777777" w:rsidR="00AD0808" w:rsidRPr="003F63A1" w:rsidRDefault="00AD0808" w:rsidP="00AD0808">
      <w:pPr>
        <w:pStyle w:val="VBBTitlepage"/>
        <w:rPr>
          <w:rFonts w:ascii="Times New Roman" w:hAnsi="Times New Roman"/>
          <w:b/>
          <w:i/>
          <w:sz w:val="26"/>
          <w:szCs w:val="26"/>
        </w:rPr>
      </w:pPr>
    </w:p>
    <w:p w14:paraId="6B75FD98" w14:textId="77777777" w:rsidR="00AD0808" w:rsidRPr="003F63A1" w:rsidRDefault="00AD0808" w:rsidP="00AD0808">
      <w:pPr>
        <w:pStyle w:val="VBBTitlepage"/>
        <w:rPr>
          <w:rFonts w:ascii="Times New Roman" w:hAnsi="Times New Roman"/>
          <w:b/>
          <w:i/>
          <w:sz w:val="26"/>
          <w:szCs w:val="26"/>
        </w:rPr>
      </w:pPr>
    </w:p>
    <w:p w14:paraId="288EA1F7" w14:textId="77777777" w:rsidR="00AD0808" w:rsidRPr="003F63A1" w:rsidRDefault="00AD0808" w:rsidP="00AD0808">
      <w:pPr>
        <w:pStyle w:val="VBBTitlepage"/>
        <w:rPr>
          <w:rFonts w:ascii="Times New Roman" w:hAnsi="Times New Roman"/>
          <w:b/>
          <w:i/>
          <w:sz w:val="26"/>
          <w:szCs w:val="26"/>
        </w:rPr>
      </w:pPr>
    </w:p>
    <w:p w14:paraId="02E840F3" w14:textId="77777777" w:rsidR="00AD0808" w:rsidRPr="003F63A1" w:rsidRDefault="00AD0808" w:rsidP="00AD0808">
      <w:pPr>
        <w:pStyle w:val="VBBTitlepage"/>
        <w:rPr>
          <w:rFonts w:ascii="Times New Roman" w:hAnsi="Times New Roman"/>
          <w:b/>
          <w:i/>
          <w:sz w:val="26"/>
          <w:szCs w:val="26"/>
        </w:rPr>
      </w:pPr>
    </w:p>
    <w:p w14:paraId="231050F1" w14:textId="77777777" w:rsidR="00AD0808" w:rsidRPr="003F63A1" w:rsidRDefault="00AD0808" w:rsidP="00AD0808">
      <w:pPr>
        <w:pStyle w:val="VBBTitlepage"/>
        <w:rPr>
          <w:rFonts w:ascii="Times New Roman" w:hAnsi="Times New Roman"/>
          <w:b/>
          <w:i/>
          <w:sz w:val="26"/>
          <w:szCs w:val="26"/>
        </w:rPr>
      </w:pPr>
    </w:p>
    <w:p w14:paraId="43FDFCE7" w14:textId="77777777" w:rsidR="00AD0808" w:rsidRPr="003F63A1" w:rsidRDefault="00AD0808" w:rsidP="00AD0808">
      <w:pPr>
        <w:pStyle w:val="VBBTitlepage"/>
        <w:rPr>
          <w:rFonts w:ascii="Times New Roman" w:hAnsi="Times New Roman"/>
          <w:b/>
          <w:i/>
          <w:sz w:val="26"/>
          <w:szCs w:val="26"/>
        </w:rPr>
      </w:pPr>
    </w:p>
    <w:p w14:paraId="01DC021D" w14:textId="69DDC8AF" w:rsidR="00AD0808" w:rsidRPr="003F63A1" w:rsidRDefault="00AD0808" w:rsidP="00AD0808">
      <w:pPr>
        <w:pStyle w:val="VBBTitlepage"/>
        <w:rPr>
          <w:rFonts w:ascii="Times New Roman" w:hAnsi="Times New Roman"/>
          <w:b/>
          <w:i/>
          <w:sz w:val="26"/>
          <w:szCs w:val="26"/>
        </w:rPr>
      </w:pPr>
      <w:r w:rsidRPr="003F63A1">
        <w:rPr>
          <w:rFonts w:ascii="Times New Roman" w:hAnsi="Times New Roman"/>
          <w:b/>
          <w:i/>
          <w:sz w:val="26"/>
          <w:szCs w:val="26"/>
        </w:rPr>
        <w:t xml:space="preserve">UKRAINE – MEASURES RELATED TO CERTAIN UKRAINIAN EXPORT </w:t>
      </w:r>
      <w:r w:rsidRPr="003F63A1">
        <w:rPr>
          <w:rFonts w:ascii="Times New Roman" w:hAnsi="Times New Roman"/>
          <w:b/>
          <w:i/>
          <w:sz w:val="26"/>
          <w:szCs w:val="26"/>
        </w:rPr>
        <w:br/>
        <w:t>RESTRICTIONS ON WOOD</w:t>
      </w:r>
    </w:p>
    <w:p w14:paraId="7049BDFE" w14:textId="77777777" w:rsidR="00AD0808" w:rsidRPr="003F63A1" w:rsidRDefault="00AD0808" w:rsidP="00AD0808">
      <w:pPr>
        <w:pStyle w:val="VBBTitlepage"/>
        <w:rPr>
          <w:rFonts w:ascii="Times New Roman" w:hAnsi="Times New Roman"/>
          <w:b/>
          <w:i/>
          <w:sz w:val="26"/>
          <w:szCs w:val="26"/>
        </w:rPr>
      </w:pPr>
    </w:p>
    <w:p w14:paraId="580AA09A" w14:textId="77777777" w:rsidR="00AD0808" w:rsidRPr="003F63A1" w:rsidRDefault="00AD0808" w:rsidP="00AD0808">
      <w:pPr>
        <w:pStyle w:val="VBBTitlepage"/>
        <w:rPr>
          <w:rFonts w:ascii="Times New Roman" w:hAnsi="Times New Roman"/>
          <w:b/>
          <w:sz w:val="26"/>
          <w:szCs w:val="26"/>
        </w:rPr>
      </w:pPr>
    </w:p>
    <w:p w14:paraId="09E2B10C" w14:textId="3E8568A7" w:rsidR="00AD0808" w:rsidRPr="003F63A1" w:rsidRDefault="00AD0808" w:rsidP="00D40EAB">
      <w:pPr>
        <w:spacing w:line="360" w:lineRule="auto"/>
        <w:jc w:val="center"/>
        <w:rPr>
          <w:b/>
          <w:smallCaps/>
          <w:sz w:val="26"/>
          <w:szCs w:val="26"/>
          <w:u w:val="single"/>
          <w:lang w:val="en-GB"/>
        </w:rPr>
      </w:pPr>
      <w:r w:rsidRPr="003F63A1">
        <w:rPr>
          <w:b/>
          <w:smallCaps/>
          <w:sz w:val="26"/>
          <w:szCs w:val="26"/>
          <w:lang w:val="en-GB"/>
        </w:rPr>
        <w:t xml:space="preserve">Ukraine’s </w:t>
      </w:r>
      <w:r w:rsidR="00D40EAB" w:rsidRPr="003F63A1">
        <w:rPr>
          <w:b/>
          <w:smallCaps/>
          <w:sz w:val="26"/>
          <w:szCs w:val="26"/>
          <w:lang w:val="en-GB"/>
        </w:rPr>
        <w:t>Answers to</w:t>
      </w:r>
      <w:r w:rsidR="00D40EAB" w:rsidRPr="003F63A1">
        <w:rPr>
          <w:b/>
          <w:smallCaps/>
          <w:sz w:val="26"/>
          <w:szCs w:val="26"/>
          <w:lang w:val="en-GB"/>
        </w:rPr>
        <w:br/>
        <w:t xml:space="preserve">the </w:t>
      </w:r>
      <w:r w:rsidR="00532136" w:rsidRPr="003F63A1">
        <w:rPr>
          <w:b/>
          <w:smallCaps/>
          <w:sz w:val="26"/>
          <w:szCs w:val="26"/>
          <w:lang w:val="en-GB"/>
        </w:rPr>
        <w:t xml:space="preserve">Arbitration </w:t>
      </w:r>
      <w:r w:rsidR="00D40EAB" w:rsidRPr="003F63A1">
        <w:rPr>
          <w:b/>
          <w:smallCaps/>
          <w:sz w:val="26"/>
          <w:szCs w:val="26"/>
          <w:lang w:val="en-GB"/>
        </w:rPr>
        <w:t>Panel</w:t>
      </w:r>
      <w:r w:rsidR="00C74C6C" w:rsidRPr="003F63A1">
        <w:rPr>
          <w:b/>
          <w:smallCaps/>
          <w:sz w:val="26"/>
          <w:szCs w:val="26"/>
          <w:lang w:val="en-GB"/>
        </w:rPr>
        <w:t>’s Questions</w:t>
      </w:r>
      <w:r w:rsidR="00532136" w:rsidRPr="003F63A1">
        <w:rPr>
          <w:b/>
          <w:smallCaps/>
          <w:sz w:val="26"/>
          <w:szCs w:val="26"/>
          <w:lang w:val="en-GB"/>
        </w:rPr>
        <w:br/>
      </w:r>
      <w:r w:rsidR="00C74C6C" w:rsidRPr="003F63A1">
        <w:rPr>
          <w:b/>
          <w:smallCaps/>
          <w:sz w:val="26"/>
          <w:szCs w:val="26"/>
          <w:lang w:val="en-GB"/>
        </w:rPr>
        <w:t>Addressed</w:t>
      </w:r>
      <w:r w:rsidR="00532136" w:rsidRPr="003F63A1">
        <w:rPr>
          <w:b/>
          <w:smallCaps/>
          <w:sz w:val="26"/>
          <w:szCs w:val="26"/>
          <w:lang w:val="en-GB"/>
        </w:rPr>
        <w:t xml:space="preserve"> </w:t>
      </w:r>
      <w:r w:rsidR="00C74C6C" w:rsidRPr="003F63A1">
        <w:rPr>
          <w:b/>
          <w:smallCaps/>
          <w:sz w:val="26"/>
          <w:szCs w:val="26"/>
          <w:lang w:val="en-GB"/>
        </w:rPr>
        <w:t xml:space="preserve">at the </w:t>
      </w:r>
      <w:r w:rsidR="00D40EAB" w:rsidRPr="003F63A1">
        <w:rPr>
          <w:b/>
          <w:smallCaps/>
          <w:sz w:val="26"/>
          <w:szCs w:val="26"/>
          <w:lang w:val="en-GB"/>
        </w:rPr>
        <w:t>Hearings</w:t>
      </w:r>
      <w:r w:rsidR="00532136" w:rsidRPr="003F63A1">
        <w:rPr>
          <w:b/>
          <w:smallCaps/>
          <w:sz w:val="26"/>
          <w:szCs w:val="26"/>
          <w:lang w:val="en-GB"/>
        </w:rPr>
        <w:br/>
      </w:r>
      <w:r w:rsidR="006B56E7" w:rsidRPr="003F63A1">
        <w:rPr>
          <w:b/>
          <w:smallCaps/>
          <w:sz w:val="26"/>
          <w:szCs w:val="26"/>
          <w:lang w:val="en-GB"/>
        </w:rPr>
        <w:t>Held on 22-23 September 2020</w:t>
      </w:r>
    </w:p>
    <w:p w14:paraId="58AEC471" w14:textId="575C38AF" w:rsidR="00AD0808" w:rsidRPr="003F63A1" w:rsidRDefault="00AD0808" w:rsidP="00AD0808">
      <w:pPr>
        <w:spacing w:line="360" w:lineRule="auto"/>
        <w:jc w:val="center"/>
        <w:rPr>
          <w:b/>
          <w:smallCaps/>
          <w:sz w:val="26"/>
          <w:szCs w:val="26"/>
          <w:highlight w:val="yellow"/>
          <w:u w:val="single"/>
          <w:lang w:val="en-GB"/>
        </w:rPr>
      </w:pPr>
    </w:p>
    <w:p w14:paraId="07F772C3" w14:textId="3AFA4682" w:rsidR="00D40EAB" w:rsidRPr="003F63A1" w:rsidRDefault="00D40EAB" w:rsidP="00AD0808">
      <w:pPr>
        <w:spacing w:line="360" w:lineRule="auto"/>
        <w:jc w:val="center"/>
        <w:rPr>
          <w:b/>
          <w:smallCaps/>
          <w:sz w:val="26"/>
          <w:szCs w:val="26"/>
          <w:highlight w:val="yellow"/>
          <w:u w:val="single"/>
          <w:lang w:val="en-GB"/>
        </w:rPr>
      </w:pPr>
    </w:p>
    <w:p w14:paraId="2E6FAE63" w14:textId="0D81D88C" w:rsidR="00D40EAB" w:rsidRPr="003F63A1" w:rsidRDefault="00D40EAB" w:rsidP="00AD0808">
      <w:pPr>
        <w:spacing w:line="360" w:lineRule="auto"/>
        <w:jc w:val="center"/>
        <w:rPr>
          <w:b/>
          <w:smallCaps/>
          <w:sz w:val="26"/>
          <w:szCs w:val="26"/>
          <w:highlight w:val="yellow"/>
          <w:u w:val="single"/>
          <w:lang w:val="en-GB"/>
        </w:rPr>
      </w:pPr>
    </w:p>
    <w:p w14:paraId="34B0BA47" w14:textId="3CCF6FE8" w:rsidR="00D40EAB" w:rsidRPr="003F63A1" w:rsidRDefault="00D40EAB" w:rsidP="009A593C">
      <w:pPr>
        <w:spacing w:line="360" w:lineRule="auto"/>
        <w:rPr>
          <w:b/>
          <w:smallCaps/>
          <w:sz w:val="26"/>
          <w:szCs w:val="26"/>
          <w:highlight w:val="yellow"/>
          <w:u w:val="single"/>
          <w:lang w:val="en-GB"/>
        </w:rPr>
      </w:pPr>
    </w:p>
    <w:p w14:paraId="0AAC09EB" w14:textId="050538D8" w:rsidR="00D40EAB" w:rsidRPr="003F63A1" w:rsidRDefault="00D40EAB" w:rsidP="00AD0808">
      <w:pPr>
        <w:spacing w:line="360" w:lineRule="auto"/>
        <w:jc w:val="center"/>
        <w:rPr>
          <w:b/>
          <w:smallCaps/>
          <w:sz w:val="26"/>
          <w:szCs w:val="26"/>
          <w:highlight w:val="yellow"/>
          <w:u w:val="single"/>
          <w:lang w:val="en-GB"/>
        </w:rPr>
      </w:pPr>
    </w:p>
    <w:p w14:paraId="43B30DE6" w14:textId="77777777" w:rsidR="00AD0808" w:rsidRPr="003F63A1" w:rsidRDefault="00AD0808" w:rsidP="00AD0808">
      <w:pPr>
        <w:spacing w:line="360" w:lineRule="auto"/>
        <w:jc w:val="center"/>
        <w:rPr>
          <w:b/>
          <w:smallCaps/>
          <w:sz w:val="26"/>
          <w:szCs w:val="26"/>
          <w:highlight w:val="yellow"/>
          <w:u w:val="single"/>
          <w:lang w:val="en-GB"/>
        </w:rPr>
      </w:pPr>
    </w:p>
    <w:p w14:paraId="47290B25" w14:textId="77777777" w:rsidR="00AD0808" w:rsidRPr="003F63A1" w:rsidRDefault="00AD0808" w:rsidP="00AD0808">
      <w:pPr>
        <w:spacing w:line="360" w:lineRule="auto"/>
        <w:jc w:val="center"/>
        <w:rPr>
          <w:b/>
          <w:smallCaps/>
          <w:sz w:val="26"/>
          <w:szCs w:val="26"/>
          <w:highlight w:val="yellow"/>
          <w:u w:val="single"/>
          <w:lang w:val="en-GB"/>
        </w:rPr>
      </w:pPr>
    </w:p>
    <w:p w14:paraId="2E21AAF5" w14:textId="58B945B5" w:rsidR="00C74C6C" w:rsidRPr="003F63A1" w:rsidRDefault="00AD0808" w:rsidP="00532136">
      <w:pPr>
        <w:spacing w:line="360" w:lineRule="auto"/>
        <w:jc w:val="center"/>
        <w:rPr>
          <w:b/>
          <w:smallCaps/>
          <w:sz w:val="26"/>
          <w:szCs w:val="26"/>
          <w:highlight w:val="yellow"/>
          <w:u w:val="single"/>
          <w:lang w:val="en-GB"/>
        </w:rPr>
      </w:pPr>
      <w:r w:rsidRPr="003F63A1">
        <w:rPr>
          <w:b/>
          <w:smallCaps/>
          <w:sz w:val="26"/>
          <w:szCs w:val="26"/>
          <w:u w:val="single"/>
          <w:lang w:val="en-GB"/>
        </w:rPr>
        <w:t xml:space="preserve">Kyiv, </w:t>
      </w:r>
      <w:r w:rsidR="00C74C6C" w:rsidRPr="003F63A1">
        <w:rPr>
          <w:b/>
          <w:smallCaps/>
          <w:sz w:val="26"/>
          <w:szCs w:val="26"/>
          <w:u w:val="single"/>
          <w:lang w:val="en-GB"/>
        </w:rPr>
        <w:t xml:space="preserve">7 October </w:t>
      </w:r>
      <w:r w:rsidRPr="003F63A1">
        <w:rPr>
          <w:b/>
          <w:smallCaps/>
          <w:sz w:val="26"/>
          <w:szCs w:val="26"/>
          <w:u w:val="single"/>
          <w:lang w:val="en-GB"/>
        </w:rPr>
        <w:t>2020</w:t>
      </w:r>
      <w:r w:rsidR="00C74C6C" w:rsidRPr="003F63A1">
        <w:rPr>
          <w:b/>
          <w:smallCaps/>
          <w:sz w:val="26"/>
          <w:szCs w:val="26"/>
          <w:highlight w:val="yellow"/>
          <w:u w:val="single"/>
          <w:lang w:val="en-GB"/>
        </w:rPr>
        <w:br w:type="page"/>
      </w:r>
    </w:p>
    <w:p w14:paraId="592846E8" w14:textId="53C7ADA7" w:rsidR="00BF3392" w:rsidRPr="003F63A1" w:rsidRDefault="00BF3392" w:rsidP="00710DA4">
      <w:pPr>
        <w:pStyle w:val="afb"/>
        <w:spacing w:before="0" w:after="0" w:line="240" w:lineRule="auto"/>
        <w:rPr>
          <w:rFonts w:cs="Times New Roman"/>
          <w:szCs w:val="26"/>
          <w:lang w:val="en-GB"/>
        </w:rPr>
      </w:pPr>
      <w:r w:rsidRPr="003F63A1">
        <w:rPr>
          <w:rFonts w:cs="Times New Roman"/>
          <w:szCs w:val="26"/>
          <w:lang w:val="en-GB"/>
        </w:rPr>
        <w:lastRenderedPageBreak/>
        <w:t>TABLE OF CONTENTS</w:t>
      </w:r>
    </w:p>
    <w:p w14:paraId="00BF21BC" w14:textId="61983516" w:rsidR="00232EBD" w:rsidRPr="00DF4643" w:rsidRDefault="004E6A35">
      <w:pPr>
        <w:pStyle w:val="11"/>
        <w:rPr>
          <w:rFonts w:ascii="Times New Roman" w:eastAsiaTheme="minorEastAsia" w:hAnsi="Times New Roman"/>
          <w:b w:val="0"/>
          <w:bCs w:val="0"/>
          <w:caps w:val="0"/>
          <w:noProof/>
          <w:sz w:val="22"/>
          <w:szCs w:val="22"/>
          <w:lang w:val="uk-UA" w:eastAsia="uk-UA"/>
        </w:rPr>
      </w:pPr>
      <w:r w:rsidRPr="00DF4643">
        <w:rPr>
          <w:rFonts w:ascii="Times New Roman" w:hAnsi="Times New Roman"/>
          <w:color w:val="000000" w:themeColor="text1"/>
          <w:lang w:val="en-GB"/>
        </w:rPr>
        <w:fldChar w:fldCharType="begin"/>
      </w:r>
      <w:r w:rsidRPr="00DF4643">
        <w:rPr>
          <w:rFonts w:ascii="Times New Roman" w:hAnsi="Times New Roman"/>
          <w:color w:val="000000" w:themeColor="text1"/>
          <w:lang w:val="en-GB"/>
        </w:rPr>
        <w:instrText xml:space="preserve"> TOC \o "1-4" \h \z \u </w:instrText>
      </w:r>
      <w:r w:rsidRPr="00DF4643">
        <w:rPr>
          <w:rFonts w:ascii="Times New Roman" w:hAnsi="Times New Roman"/>
          <w:color w:val="000000" w:themeColor="text1"/>
          <w:lang w:val="en-GB"/>
        </w:rPr>
        <w:fldChar w:fldCharType="separate"/>
      </w:r>
      <w:hyperlink w:anchor="_Toc52896869" w:history="1">
        <w:r w:rsidR="00232EBD" w:rsidRPr="00DF4643">
          <w:rPr>
            <w:rStyle w:val="af2"/>
            <w:rFonts w:ascii="Times New Roman" w:hAnsi="Times New Roman"/>
            <w:noProof/>
            <w:lang w:val="en-GB"/>
          </w:rPr>
          <w:t>I.</w:t>
        </w:r>
        <w:r w:rsidR="00232EBD" w:rsidRPr="00DF4643">
          <w:rPr>
            <w:rFonts w:ascii="Times New Roman" w:eastAsiaTheme="minorEastAsia" w:hAnsi="Times New Roman"/>
            <w:b w:val="0"/>
            <w:bCs w:val="0"/>
            <w:caps w:val="0"/>
            <w:noProof/>
            <w:sz w:val="22"/>
            <w:szCs w:val="22"/>
            <w:lang w:val="uk-UA" w:eastAsia="uk-UA"/>
          </w:rPr>
          <w:tab/>
        </w:r>
        <w:r w:rsidR="00232EBD" w:rsidRPr="00DF4643">
          <w:rPr>
            <w:rStyle w:val="af2"/>
            <w:rFonts w:ascii="Times New Roman" w:hAnsi="Times New Roman"/>
            <w:noProof/>
            <w:lang w:val="en-GB"/>
          </w:rPr>
          <w:t>Panel’s Questions in respect of the Points of Order raised by the European Union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_Toc52896869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w:t>
        </w:r>
        <w:r w:rsidR="00232EBD" w:rsidRPr="00DF4643">
          <w:rPr>
            <w:rFonts w:ascii="Times New Roman" w:hAnsi="Times New Roman"/>
            <w:noProof/>
            <w:webHidden/>
          </w:rPr>
          <w:fldChar w:fldCharType="end"/>
        </w:r>
      </w:hyperlink>
    </w:p>
    <w:p w14:paraId="3F7DD43B" w14:textId="76D34BD4"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70" w:history="1">
        <w:r w:rsidR="00232EBD" w:rsidRPr="00DF4643">
          <w:rPr>
            <w:rStyle w:val="af2"/>
            <w:rFonts w:ascii="Times New Roman" w:hAnsi="Times New Roman"/>
            <w:noProof/>
            <w:lang w:val="en-GB"/>
          </w:rPr>
          <w:t>Question 1 – Ukraine’s jurisdictional/admissibility objection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_Toc52896870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w:t>
        </w:r>
        <w:r w:rsidR="00232EBD" w:rsidRPr="00DF4643">
          <w:rPr>
            <w:rFonts w:ascii="Times New Roman" w:hAnsi="Times New Roman"/>
            <w:noProof/>
            <w:webHidden/>
          </w:rPr>
          <w:fldChar w:fldCharType="end"/>
        </w:r>
      </w:hyperlink>
    </w:p>
    <w:p w14:paraId="5943B858" w14:textId="40BCD4B4"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71" w:history="1">
        <w:r w:rsidR="00232EBD" w:rsidRPr="00DF4643">
          <w:rPr>
            <w:rStyle w:val="af2"/>
            <w:rFonts w:ascii="Times New Roman" w:hAnsi="Times New Roman"/>
            <w:noProof/>
            <w:lang w:val="en-GB"/>
          </w:rPr>
          <w:t>A – The European Union’s objection regarding an alleged “untimely” jurisdictional/inadmissibility objection is unfounded</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_Toc52896871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w:t>
        </w:r>
        <w:r w:rsidR="00232EBD" w:rsidRPr="00DF4643">
          <w:rPr>
            <w:rFonts w:ascii="Times New Roman" w:hAnsi="Times New Roman"/>
            <w:noProof/>
            <w:webHidden/>
          </w:rPr>
          <w:fldChar w:fldCharType="end"/>
        </w:r>
      </w:hyperlink>
    </w:p>
    <w:p w14:paraId="1603F644" w14:textId="4559E704" w:rsidR="00232EBD" w:rsidRPr="00DF4643" w:rsidRDefault="004D3C1E">
      <w:pPr>
        <w:pStyle w:val="41"/>
        <w:tabs>
          <w:tab w:val="right" w:leader="dot" w:pos="9062"/>
        </w:tabs>
        <w:rPr>
          <w:rFonts w:ascii="Times New Roman" w:eastAsiaTheme="minorEastAsia" w:hAnsi="Times New Roman"/>
          <w:noProof/>
          <w:sz w:val="22"/>
          <w:szCs w:val="22"/>
          <w:lang w:val="uk-UA" w:eastAsia="uk-UA"/>
        </w:rPr>
      </w:pPr>
      <w:hyperlink w:anchor="_Toc52896872" w:history="1">
        <w:r w:rsidR="00232EBD" w:rsidRPr="00DF4643">
          <w:rPr>
            <w:rStyle w:val="af2"/>
            <w:rFonts w:ascii="Times New Roman" w:hAnsi="Times New Roman"/>
            <w:noProof/>
            <w:lang w:val="en-GB"/>
          </w:rPr>
          <w:t>The law</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_Toc52896872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w:t>
        </w:r>
        <w:r w:rsidR="00232EBD" w:rsidRPr="00DF4643">
          <w:rPr>
            <w:rFonts w:ascii="Times New Roman" w:hAnsi="Times New Roman"/>
            <w:noProof/>
            <w:webHidden/>
          </w:rPr>
          <w:fldChar w:fldCharType="end"/>
        </w:r>
      </w:hyperlink>
    </w:p>
    <w:p w14:paraId="310B5091" w14:textId="42B93124" w:rsidR="00232EBD" w:rsidRPr="00DF4643" w:rsidRDefault="004D3C1E">
      <w:pPr>
        <w:pStyle w:val="41"/>
        <w:tabs>
          <w:tab w:val="right" w:leader="dot" w:pos="9062"/>
        </w:tabs>
        <w:rPr>
          <w:rFonts w:ascii="Times New Roman" w:eastAsiaTheme="minorEastAsia" w:hAnsi="Times New Roman"/>
          <w:noProof/>
          <w:sz w:val="22"/>
          <w:szCs w:val="22"/>
          <w:lang w:val="uk-UA" w:eastAsia="uk-UA"/>
        </w:rPr>
      </w:pPr>
      <w:hyperlink w:anchor="_Toc52896873" w:history="1">
        <w:r w:rsidR="00232EBD" w:rsidRPr="00DF4643">
          <w:rPr>
            <w:rStyle w:val="af2"/>
            <w:rFonts w:ascii="Times New Roman" w:hAnsi="Times New Roman"/>
            <w:noProof/>
            <w:lang w:val="en-GB"/>
          </w:rPr>
          <w:t>The facts</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_Toc52896873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7</w:t>
        </w:r>
        <w:r w:rsidR="00232EBD" w:rsidRPr="00DF4643">
          <w:rPr>
            <w:rFonts w:ascii="Times New Roman" w:hAnsi="Times New Roman"/>
            <w:noProof/>
            <w:webHidden/>
          </w:rPr>
          <w:fldChar w:fldCharType="end"/>
        </w:r>
      </w:hyperlink>
    </w:p>
    <w:p w14:paraId="1A1E978E" w14:textId="083C9B88"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74" w:history="1">
        <w:r w:rsidR="00232EBD" w:rsidRPr="00DF4643">
          <w:rPr>
            <w:rStyle w:val="af2"/>
            <w:rFonts w:ascii="Times New Roman" w:hAnsi="Times New Roman"/>
            <w:noProof/>
            <w:lang w:val="en-GB"/>
          </w:rPr>
          <w:t>B – The merits of the jurisdictional/admissibility objection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_Toc52896874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11</w:t>
        </w:r>
        <w:r w:rsidR="00232EBD" w:rsidRPr="00DF4643">
          <w:rPr>
            <w:rFonts w:ascii="Times New Roman" w:hAnsi="Times New Roman"/>
            <w:noProof/>
            <w:webHidden/>
          </w:rPr>
          <w:fldChar w:fldCharType="end"/>
        </w:r>
      </w:hyperlink>
    </w:p>
    <w:p w14:paraId="22A8E400" w14:textId="5540C931" w:rsidR="00232EBD" w:rsidRPr="00DF4643" w:rsidRDefault="004D3C1E">
      <w:pPr>
        <w:pStyle w:val="41"/>
        <w:tabs>
          <w:tab w:val="right" w:leader="dot" w:pos="9062"/>
        </w:tabs>
        <w:rPr>
          <w:rFonts w:ascii="Times New Roman" w:eastAsiaTheme="minorEastAsia" w:hAnsi="Times New Roman"/>
          <w:noProof/>
          <w:sz w:val="22"/>
          <w:szCs w:val="22"/>
          <w:lang w:val="uk-UA" w:eastAsia="uk-UA"/>
        </w:rPr>
      </w:pPr>
      <w:hyperlink w:anchor="_Toc52896875" w:history="1">
        <w:r w:rsidR="00232EBD" w:rsidRPr="00DF4643">
          <w:rPr>
            <w:rStyle w:val="af2"/>
            <w:rFonts w:ascii="Times New Roman" w:hAnsi="Times New Roman"/>
            <w:noProof/>
            <w:lang w:val="en-GB"/>
          </w:rPr>
          <w:t>Is the Arbitration Panel empowered to decide that the dispute is or is not a matter arising under Chapter 13 of the Association Agreement?</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_Toc52896875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12</w:t>
        </w:r>
        <w:r w:rsidR="00232EBD" w:rsidRPr="00DF4643">
          <w:rPr>
            <w:rFonts w:ascii="Times New Roman" w:hAnsi="Times New Roman"/>
            <w:noProof/>
            <w:webHidden/>
          </w:rPr>
          <w:fldChar w:fldCharType="end"/>
        </w:r>
      </w:hyperlink>
    </w:p>
    <w:p w14:paraId="443F9D6E" w14:textId="2F3B91D5" w:rsidR="00232EBD" w:rsidRPr="00DF4643" w:rsidRDefault="004D3C1E">
      <w:pPr>
        <w:pStyle w:val="41"/>
        <w:tabs>
          <w:tab w:val="right" w:leader="dot" w:pos="9062"/>
        </w:tabs>
        <w:rPr>
          <w:rFonts w:ascii="Times New Roman" w:eastAsiaTheme="minorEastAsia" w:hAnsi="Times New Roman"/>
          <w:noProof/>
          <w:sz w:val="22"/>
          <w:szCs w:val="22"/>
          <w:lang w:val="uk-UA" w:eastAsia="uk-UA"/>
        </w:rPr>
      </w:pPr>
      <w:hyperlink w:anchor="_Toc52896876" w:history="1">
        <w:r w:rsidR="00232EBD" w:rsidRPr="00DF4643">
          <w:rPr>
            <w:rStyle w:val="af2"/>
            <w:rFonts w:ascii="Times New Roman" w:hAnsi="Times New Roman"/>
            <w:noProof/>
            <w:lang w:val="en-GB"/>
          </w:rPr>
          <w:t>Is the matter before the Arbitration Panel a matter arising under Chapter 13 of the Association Agreement?</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_Toc52896876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13</w:t>
        </w:r>
        <w:r w:rsidR="00232EBD" w:rsidRPr="00DF4643">
          <w:rPr>
            <w:rFonts w:ascii="Times New Roman" w:hAnsi="Times New Roman"/>
            <w:noProof/>
            <w:webHidden/>
          </w:rPr>
          <w:fldChar w:fldCharType="end"/>
        </w:r>
      </w:hyperlink>
    </w:p>
    <w:p w14:paraId="57875F19" w14:textId="38557B61"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77" w:history="1">
        <w:r w:rsidR="00232EBD" w:rsidRPr="00DF4643">
          <w:rPr>
            <w:rStyle w:val="af2"/>
            <w:rFonts w:ascii="Times New Roman" w:hAnsi="Times New Roman"/>
            <w:noProof/>
            <w:lang w:val="en-GB"/>
          </w:rPr>
          <w:t>Question 2 – Whether the Arbitration Panel is entitled to provide suggestions or recommendations (akin to the WTO DSU Article 19 rules)</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_Toc52896877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15</w:t>
        </w:r>
        <w:r w:rsidR="00232EBD" w:rsidRPr="00DF4643">
          <w:rPr>
            <w:rFonts w:ascii="Times New Roman" w:hAnsi="Times New Roman"/>
            <w:noProof/>
            <w:webHidden/>
          </w:rPr>
          <w:fldChar w:fldCharType="end"/>
        </w:r>
      </w:hyperlink>
    </w:p>
    <w:p w14:paraId="7F582FA0" w14:textId="6F0FD43C"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78" w:history="1">
        <w:r w:rsidR="00232EBD" w:rsidRPr="00DF4643">
          <w:rPr>
            <w:rStyle w:val="af2"/>
            <w:rFonts w:ascii="Times New Roman" w:hAnsi="Times New Roman"/>
            <w:noProof/>
            <w:lang w:val="en-GB"/>
          </w:rPr>
          <w:t>Question 3 – concerning Article 35’s entry into force</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_Toc52896878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17</w:t>
        </w:r>
        <w:r w:rsidR="00232EBD" w:rsidRPr="00DF4643">
          <w:rPr>
            <w:rFonts w:ascii="Times New Roman" w:hAnsi="Times New Roman"/>
            <w:noProof/>
            <w:webHidden/>
          </w:rPr>
          <w:fldChar w:fldCharType="end"/>
        </w:r>
      </w:hyperlink>
    </w:p>
    <w:p w14:paraId="7527FC64" w14:textId="1443EB4E"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79" w:history="1">
        <w:r w:rsidR="00232EBD" w:rsidRPr="00DF4643">
          <w:rPr>
            <w:rStyle w:val="af2"/>
            <w:rFonts w:ascii="Times New Roman" w:hAnsi="Times New Roman"/>
            <w:noProof/>
            <w:lang w:val="en-GB"/>
          </w:rPr>
          <w:t>Question 4 – On the admissibility of the Earthsight Report</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_Toc52896879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19</w:t>
        </w:r>
        <w:r w:rsidR="00232EBD" w:rsidRPr="00DF4643">
          <w:rPr>
            <w:rFonts w:ascii="Times New Roman" w:hAnsi="Times New Roman"/>
            <w:noProof/>
            <w:webHidden/>
          </w:rPr>
          <w:fldChar w:fldCharType="end"/>
        </w:r>
      </w:hyperlink>
    </w:p>
    <w:p w14:paraId="1A0A7E7E" w14:textId="539592A6" w:rsidR="00232EBD" w:rsidRPr="00DF4643" w:rsidRDefault="004D3C1E">
      <w:pPr>
        <w:pStyle w:val="11"/>
        <w:rPr>
          <w:rFonts w:ascii="Times New Roman" w:eastAsiaTheme="minorEastAsia" w:hAnsi="Times New Roman"/>
          <w:b w:val="0"/>
          <w:bCs w:val="0"/>
          <w:caps w:val="0"/>
          <w:noProof/>
          <w:sz w:val="22"/>
          <w:szCs w:val="22"/>
          <w:lang w:val="uk-UA" w:eastAsia="uk-UA"/>
        </w:rPr>
      </w:pPr>
      <w:hyperlink w:anchor="_Toc52896880" w:history="1">
        <w:r w:rsidR="00232EBD" w:rsidRPr="00DF4643">
          <w:rPr>
            <w:rStyle w:val="af2"/>
            <w:rFonts w:ascii="Times New Roman" w:hAnsi="Times New Roman"/>
            <w:noProof/>
            <w:lang w:val="en-GB"/>
          </w:rPr>
          <w:t>II.</w:t>
        </w:r>
        <w:r w:rsidR="00232EBD" w:rsidRPr="00DF4643">
          <w:rPr>
            <w:rFonts w:ascii="Times New Roman" w:eastAsiaTheme="minorEastAsia" w:hAnsi="Times New Roman"/>
            <w:b w:val="0"/>
            <w:bCs w:val="0"/>
            <w:caps w:val="0"/>
            <w:noProof/>
            <w:sz w:val="22"/>
            <w:szCs w:val="22"/>
            <w:lang w:val="uk-UA" w:eastAsia="uk-UA"/>
          </w:rPr>
          <w:tab/>
        </w:r>
        <w:r w:rsidR="00232EBD" w:rsidRPr="00DF4643">
          <w:rPr>
            <w:rStyle w:val="af2"/>
            <w:rFonts w:ascii="Times New Roman" w:hAnsi="Times New Roman"/>
            <w:noProof/>
            <w:lang w:val="en-GB"/>
          </w:rPr>
          <w:t>Panel’s Questions to the Parties</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_Toc52896880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21</w:t>
        </w:r>
        <w:r w:rsidR="00232EBD" w:rsidRPr="00DF4643">
          <w:rPr>
            <w:rFonts w:ascii="Times New Roman" w:hAnsi="Times New Roman"/>
            <w:noProof/>
            <w:webHidden/>
          </w:rPr>
          <w:fldChar w:fldCharType="end"/>
        </w:r>
      </w:hyperlink>
    </w:p>
    <w:p w14:paraId="1FA36C7C" w14:textId="430BEBB2"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1" w:history="1">
        <w:r w:rsidR="00232EBD" w:rsidRPr="00DF4643">
          <w:rPr>
            <w:rStyle w:val="af2"/>
            <w:rFonts w:ascii="Times New Roman" w:hAnsi="Times New Roman"/>
            <w:noProof/>
            <w:lang w:val="en-GB"/>
          </w:rPr>
          <w:t>Question 5 – Whether WTO minus provisions are allowed in FTAs</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_Toc52896881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21</w:t>
        </w:r>
        <w:r w:rsidR="00232EBD" w:rsidRPr="00DF4643">
          <w:rPr>
            <w:rFonts w:ascii="Times New Roman" w:hAnsi="Times New Roman"/>
            <w:noProof/>
            <w:webHidden/>
          </w:rPr>
          <w:fldChar w:fldCharType="end"/>
        </w:r>
      </w:hyperlink>
    </w:p>
    <w:p w14:paraId="5B859A2D" w14:textId="2C4C01B2"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82" w:history="1">
        <w:r w:rsidR="00232EBD" w:rsidRPr="00DF4643">
          <w:rPr>
            <w:rStyle w:val="af2"/>
            <w:rFonts w:ascii="Times New Roman" w:hAnsi="Times New Roman"/>
            <w:noProof/>
            <w:lang w:val="en-GB"/>
          </w:rPr>
          <w:t>A – Does Article XXIV:8(b) prohibits or disallow “GATT-minus” Free trade agreements (“FTAs”)?</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_Toc52896882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21</w:t>
        </w:r>
        <w:r w:rsidR="00232EBD" w:rsidRPr="00DF4643">
          <w:rPr>
            <w:rFonts w:ascii="Times New Roman" w:hAnsi="Times New Roman"/>
            <w:noProof/>
            <w:webHidden/>
          </w:rPr>
          <w:fldChar w:fldCharType="end"/>
        </w:r>
      </w:hyperlink>
    </w:p>
    <w:p w14:paraId="2F7894FA" w14:textId="489E2EC6"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83" w:history="1">
        <w:r w:rsidR="00232EBD" w:rsidRPr="00DF4643">
          <w:rPr>
            <w:rStyle w:val="af2"/>
            <w:rFonts w:ascii="Times New Roman" w:hAnsi="Times New Roman"/>
            <w:noProof/>
            <w:lang w:val="en-GB"/>
          </w:rPr>
          <w:t>B - Article XXIV:8(b) is irrelevant in the current case</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_Toc52896883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23</w:t>
        </w:r>
        <w:r w:rsidR="00232EBD" w:rsidRPr="00DF4643">
          <w:rPr>
            <w:rFonts w:ascii="Times New Roman" w:hAnsi="Times New Roman"/>
            <w:noProof/>
            <w:webHidden/>
          </w:rPr>
          <w:fldChar w:fldCharType="end"/>
        </w:r>
      </w:hyperlink>
    </w:p>
    <w:p w14:paraId="3FF8127D" w14:textId="38CC0D41"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4" w:history="1">
        <w:r w:rsidR="00232EBD" w:rsidRPr="00DF4643">
          <w:rPr>
            <w:rStyle w:val="af2"/>
            <w:rFonts w:ascii="Times New Roman" w:hAnsi="Times New Roman"/>
            <w:noProof/>
            <w:lang w:val="en-GB"/>
          </w:rPr>
          <w:t>Question 6</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_Toc52896884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24</w:t>
        </w:r>
        <w:r w:rsidR="00232EBD" w:rsidRPr="00DF4643">
          <w:rPr>
            <w:rFonts w:ascii="Times New Roman" w:hAnsi="Times New Roman"/>
            <w:noProof/>
            <w:webHidden/>
          </w:rPr>
          <w:fldChar w:fldCharType="end"/>
        </w:r>
      </w:hyperlink>
    </w:p>
    <w:p w14:paraId="2AEA0CD2" w14:textId="74255C9E"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5" w:history="1">
        <w:r w:rsidR="00232EBD" w:rsidRPr="00DF4643">
          <w:rPr>
            <w:rStyle w:val="af2"/>
            <w:rFonts w:ascii="Times New Roman" w:hAnsi="Times New Roman"/>
            <w:noProof/>
            <w:lang w:val="en-GB"/>
          </w:rPr>
          <w:t>Question 7 - Sustainability commitments under Chapter 13</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_Toc52896885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25</w:t>
        </w:r>
        <w:r w:rsidR="00232EBD" w:rsidRPr="00DF4643">
          <w:rPr>
            <w:rFonts w:ascii="Times New Roman" w:hAnsi="Times New Roman"/>
            <w:noProof/>
            <w:webHidden/>
          </w:rPr>
          <w:fldChar w:fldCharType="end"/>
        </w:r>
      </w:hyperlink>
    </w:p>
    <w:p w14:paraId="6FFA8BBC" w14:textId="3AF9DD57"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6" w:history="1">
        <w:r w:rsidR="00232EBD" w:rsidRPr="00DF4643">
          <w:rPr>
            <w:rStyle w:val="af2"/>
            <w:rFonts w:ascii="Times New Roman" w:hAnsi="Times New Roman"/>
            <w:noProof/>
            <w:lang w:val="en-GB"/>
          </w:rPr>
          <w:t>Question 8 – Cooperation between the European Union’s and Ukraine’s customs authorities on combatting illegal logging</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_Toc52896886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26</w:t>
        </w:r>
        <w:r w:rsidR="00232EBD" w:rsidRPr="00DF4643">
          <w:rPr>
            <w:rFonts w:ascii="Times New Roman" w:hAnsi="Times New Roman"/>
            <w:noProof/>
            <w:webHidden/>
          </w:rPr>
          <w:fldChar w:fldCharType="end"/>
        </w:r>
      </w:hyperlink>
    </w:p>
    <w:p w14:paraId="79CF9504" w14:textId="3475616F"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7" w:history="1">
        <w:r w:rsidR="00232EBD" w:rsidRPr="00DF4643">
          <w:rPr>
            <w:rStyle w:val="af2"/>
            <w:rFonts w:ascii="Times New Roman" w:hAnsi="Times New Roman"/>
            <w:noProof/>
            <w:lang w:val="en-GB"/>
          </w:rPr>
          <w:t>Question 9 – Regarding the Ukrainian monitoring procedure for a consumption plan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_Toc52896887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28</w:t>
        </w:r>
        <w:r w:rsidR="00232EBD" w:rsidRPr="00DF4643">
          <w:rPr>
            <w:rFonts w:ascii="Times New Roman" w:hAnsi="Times New Roman"/>
            <w:noProof/>
            <w:webHidden/>
          </w:rPr>
          <w:fldChar w:fldCharType="end"/>
        </w:r>
      </w:hyperlink>
    </w:p>
    <w:p w14:paraId="2B94C60C" w14:textId="0FE9E25B"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8" w:history="1">
        <w:r w:rsidR="00232EBD" w:rsidRPr="00DF4643">
          <w:rPr>
            <w:rStyle w:val="af2"/>
            <w:rFonts w:ascii="Times New Roman" w:hAnsi="Times New Roman"/>
            <w:noProof/>
            <w:lang w:val="en-GB"/>
          </w:rPr>
          <w:t>Question 10 – Regarding species covered by the “2005 export ban”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_Toc52896888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32</w:t>
        </w:r>
        <w:r w:rsidR="00232EBD" w:rsidRPr="00DF4643">
          <w:rPr>
            <w:rFonts w:ascii="Times New Roman" w:hAnsi="Times New Roman"/>
            <w:noProof/>
            <w:webHidden/>
          </w:rPr>
          <w:fldChar w:fldCharType="end"/>
        </w:r>
      </w:hyperlink>
    </w:p>
    <w:p w14:paraId="057E7D20" w14:textId="2BBD9298"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89" w:history="1">
        <w:r w:rsidR="00232EBD" w:rsidRPr="00DF4643">
          <w:rPr>
            <w:rStyle w:val="af2"/>
            <w:rFonts w:ascii="Times New Roman" w:hAnsi="Times New Roman"/>
            <w:noProof/>
            <w:lang w:val="en-GB"/>
          </w:rPr>
          <w:t>Question 11</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_Toc52896889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38</w:t>
        </w:r>
        <w:r w:rsidR="00232EBD" w:rsidRPr="00DF4643">
          <w:rPr>
            <w:rFonts w:ascii="Times New Roman" w:hAnsi="Times New Roman"/>
            <w:noProof/>
            <w:webHidden/>
          </w:rPr>
          <w:fldChar w:fldCharType="end"/>
        </w:r>
      </w:hyperlink>
    </w:p>
    <w:p w14:paraId="6092E208" w14:textId="4D37F302"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90" w:history="1">
        <w:r w:rsidR="00232EBD" w:rsidRPr="00DF4643">
          <w:rPr>
            <w:rStyle w:val="af2"/>
            <w:rFonts w:ascii="Times New Roman" w:hAnsi="Times New Roman"/>
            <w:noProof/>
            <w:lang w:val="en-GB"/>
          </w:rPr>
          <w:t>Question 12 - Measures taken by Ukraine to combat smuggling of timber abroad</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_Toc52896890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39</w:t>
        </w:r>
        <w:r w:rsidR="00232EBD" w:rsidRPr="00DF4643">
          <w:rPr>
            <w:rFonts w:ascii="Times New Roman" w:hAnsi="Times New Roman"/>
            <w:noProof/>
            <w:webHidden/>
          </w:rPr>
          <w:fldChar w:fldCharType="end"/>
        </w:r>
      </w:hyperlink>
    </w:p>
    <w:p w14:paraId="7DF62997" w14:textId="1288C7BA"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91" w:history="1">
        <w:r w:rsidR="00232EBD" w:rsidRPr="00DF4643">
          <w:rPr>
            <w:rStyle w:val="af2"/>
            <w:rFonts w:ascii="Times New Roman" w:hAnsi="Times New Roman"/>
            <w:noProof/>
            <w:lang w:val="en-GB"/>
          </w:rPr>
          <w:t>Question 13 – Regarding duration of the “2015 temporary export ban”, reforestation of Ukrainian forests, and the 25 million cubic meters consumption plan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_Toc52896891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41</w:t>
        </w:r>
        <w:r w:rsidR="00232EBD" w:rsidRPr="00DF4643">
          <w:rPr>
            <w:rFonts w:ascii="Times New Roman" w:hAnsi="Times New Roman"/>
            <w:noProof/>
            <w:webHidden/>
          </w:rPr>
          <w:fldChar w:fldCharType="end"/>
        </w:r>
      </w:hyperlink>
    </w:p>
    <w:p w14:paraId="67A67A24" w14:textId="0A89019C"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92" w:history="1">
        <w:r w:rsidR="00232EBD" w:rsidRPr="00DF4643">
          <w:rPr>
            <w:rStyle w:val="af2"/>
            <w:rFonts w:ascii="Times New Roman" w:hAnsi="Times New Roman"/>
            <w:noProof/>
            <w:lang w:val="en-GB"/>
          </w:rPr>
          <w:t>A - Forest restoration period</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_Toc52896892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42</w:t>
        </w:r>
        <w:r w:rsidR="00232EBD" w:rsidRPr="00DF4643">
          <w:rPr>
            <w:rFonts w:ascii="Times New Roman" w:hAnsi="Times New Roman"/>
            <w:noProof/>
            <w:webHidden/>
          </w:rPr>
          <w:fldChar w:fldCharType="end"/>
        </w:r>
      </w:hyperlink>
    </w:p>
    <w:p w14:paraId="78A8B3AE" w14:textId="7FC80D30"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93" w:history="1">
        <w:r w:rsidR="00232EBD" w:rsidRPr="00DF4643">
          <w:rPr>
            <w:rStyle w:val="af2"/>
            <w:rFonts w:ascii="Times New Roman" w:hAnsi="Times New Roman"/>
            <w:noProof/>
            <w:lang w:val="en-GB"/>
          </w:rPr>
          <w:t>B - Reasons for the introduction of the “2015 temporary export ban” just for 10 years</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_Toc52896893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43</w:t>
        </w:r>
        <w:r w:rsidR="00232EBD" w:rsidRPr="00DF4643">
          <w:rPr>
            <w:rFonts w:ascii="Times New Roman" w:hAnsi="Times New Roman"/>
            <w:noProof/>
            <w:webHidden/>
          </w:rPr>
          <w:fldChar w:fldCharType="end"/>
        </w:r>
      </w:hyperlink>
    </w:p>
    <w:p w14:paraId="7B021D08" w14:textId="1F8DE117"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94" w:history="1">
        <w:r w:rsidR="00232EBD" w:rsidRPr="00DF4643">
          <w:rPr>
            <w:rStyle w:val="af2"/>
            <w:rFonts w:ascii="Times New Roman" w:hAnsi="Times New Roman"/>
            <w:noProof/>
            <w:lang w:val="en-GB"/>
          </w:rPr>
          <w:t>C – What does “</w:t>
        </w:r>
        <w:r w:rsidR="00232EBD" w:rsidRPr="00DF4643">
          <w:rPr>
            <w:rStyle w:val="af2"/>
            <w:rFonts w:ascii="Times New Roman" w:hAnsi="Times New Roman"/>
            <w:noProof/>
            <w:lang w:val="en-US"/>
          </w:rPr>
          <w:t>automatically</w:t>
        </w:r>
        <w:r w:rsidR="00232EBD" w:rsidRPr="00DF4643">
          <w:rPr>
            <w:rStyle w:val="af2"/>
            <w:rFonts w:ascii="Times New Roman" w:hAnsi="Times New Roman"/>
            <w:noProof/>
            <w:lang w:val="en-GB"/>
          </w:rPr>
          <w:t xml:space="preserve"> lapsing” of the “2015 temporary export ban” mean? Whether it can be prolonged</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_Toc52896894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43</w:t>
        </w:r>
        <w:r w:rsidR="00232EBD" w:rsidRPr="00DF4643">
          <w:rPr>
            <w:rFonts w:ascii="Times New Roman" w:hAnsi="Times New Roman"/>
            <w:noProof/>
            <w:webHidden/>
          </w:rPr>
          <w:fldChar w:fldCharType="end"/>
        </w:r>
      </w:hyperlink>
    </w:p>
    <w:p w14:paraId="1B20C1CE" w14:textId="7A900A70" w:rsidR="00232EBD" w:rsidRPr="00DF4643" w:rsidRDefault="004D3C1E">
      <w:pPr>
        <w:pStyle w:val="31"/>
        <w:tabs>
          <w:tab w:val="right" w:leader="dot" w:pos="9062"/>
        </w:tabs>
        <w:rPr>
          <w:rFonts w:ascii="Times New Roman" w:eastAsiaTheme="minorEastAsia" w:hAnsi="Times New Roman"/>
          <w:i w:val="0"/>
          <w:iCs w:val="0"/>
          <w:noProof/>
          <w:sz w:val="22"/>
          <w:szCs w:val="22"/>
          <w:lang w:val="uk-UA" w:eastAsia="uk-UA"/>
        </w:rPr>
      </w:pPr>
      <w:hyperlink w:anchor="_Toc52896895" w:history="1">
        <w:r w:rsidR="00232EBD" w:rsidRPr="00DF4643">
          <w:rPr>
            <w:rStyle w:val="af2"/>
            <w:rFonts w:ascii="Times New Roman" w:hAnsi="Times New Roman"/>
            <w:noProof/>
            <w:lang w:val="en-GB"/>
          </w:rPr>
          <w:t xml:space="preserve">D – Whether the 25 million cubic meter consumption plan per year is a real and actual restriction on </w:t>
        </w:r>
        <w:r w:rsidR="00232EBD" w:rsidRPr="00DF4643">
          <w:rPr>
            <w:rStyle w:val="af2"/>
            <w:rFonts w:ascii="Times New Roman" w:hAnsi="Times New Roman"/>
            <w:noProof/>
            <w:lang w:val="en-US"/>
          </w:rPr>
          <w:t>domestic consumption of unprocessed timber</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_Toc52896895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44</w:t>
        </w:r>
        <w:r w:rsidR="00232EBD" w:rsidRPr="00DF4643">
          <w:rPr>
            <w:rFonts w:ascii="Times New Roman" w:hAnsi="Times New Roman"/>
            <w:noProof/>
            <w:webHidden/>
          </w:rPr>
          <w:fldChar w:fldCharType="end"/>
        </w:r>
      </w:hyperlink>
    </w:p>
    <w:p w14:paraId="52B7C617" w14:textId="488ABE19"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96" w:history="1">
        <w:r w:rsidR="00232EBD" w:rsidRPr="00DF4643">
          <w:rPr>
            <w:rStyle w:val="af2"/>
            <w:rFonts w:ascii="Times New Roman" w:hAnsi="Times New Roman"/>
            <w:noProof/>
            <w:lang w:val="en-GB"/>
          </w:rPr>
          <w:t>Question 14 - Relationship between Article 36 of the Association Agreement, Article XX of the GATT 1994 and Chapter 13 of the Association Agreement</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_Toc52896896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46</w:t>
        </w:r>
        <w:r w:rsidR="00232EBD" w:rsidRPr="00DF4643">
          <w:rPr>
            <w:rFonts w:ascii="Times New Roman" w:hAnsi="Times New Roman"/>
            <w:noProof/>
            <w:webHidden/>
          </w:rPr>
          <w:fldChar w:fldCharType="end"/>
        </w:r>
      </w:hyperlink>
    </w:p>
    <w:p w14:paraId="6F373A6B" w14:textId="66E62E4F"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97" w:history="1">
        <w:r w:rsidR="00232EBD" w:rsidRPr="00DF4643">
          <w:rPr>
            <w:rStyle w:val="af2"/>
            <w:rFonts w:ascii="Times New Roman" w:hAnsi="Times New Roman"/>
            <w:noProof/>
            <w:lang w:val="en-GB"/>
          </w:rPr>
          <w:t>Question 15</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_Toc52896897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47</w:t>
        </w:r>
        <w:r w:rsidR="00232EBD" w:rsidRPr="00DF4643">
          <w:rPr>
            <w:rFonts w:ascii="Times New Roman" w:hAnsi="Times New Roman"/>
            <w:noProof/>
            <w:webHidden/>
          </w:rPr>
          <w:fldChar w:fldCharType="end"/>
        </w:r>
      </w:hyperlink>
    </w:p>
    <w:p w14:paraId="34C90173" w14:textId="20BCA943"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98" w:history="1">
        <w:r w:rsidR="00232EBD" w:rsidRPr="00DF4643">
          <w:rPr>
            <w:rStyle w:val="af2"/>
            <w:rFonts w:ascii="Times New Roman" w:hAnsi="Times New Roman"/>
            <w:noProof/>
            <w:lang w:val="en-GB"/>
          </w:rPr>
          <w:t>Question 16</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_Toc52896898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47</w:t>
        </w:r>
        <w:r w:rsidR="00232EBD" w:rsidRPr="00DF4643">
          <w:rPr>
            <w:rFonts w:ascii="Times New Roman" w:hAnsi="Times New Roman"/>
            <w:noProof/>
            <w:webHidden/>
          </w:rPr>
          <w:fldChar w:fldCharType="end"/>
        </w:r>
      </w:hyperlink>
    </w:p>
    <w:p w14:paraId="1E4965E2" w14:textId="44C076A6"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899" w:history="1">
        <w:r w:rsidR="00232EBD" w:rsidRPr="00DF4643">
          <w:rPr>
            <w:rStyle w:val="af2"/>
            <w:rFonts w:ascii="Times New Roman" w:hAnsi="Times New Roman"/>
            <w:noProof/>
            <w:lang w:val="en-GB"/>
          </w:rPr>
          <w:t>Question 17 – How many Ukrainian forests are temporary occupied?</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_Toc52896899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48</w:t>
        </w:r>
        <w:r w:rsidR="00232EBD" w:rsidRPr="00DF4643">
          <w:rPr>
            <w:rFonts w:ascii="Times New Roman" w:hAnsi="Times New Roman"/>
            <w:noProof/>
            <w:webHidden/>
          </w:rPr>
          <w:fldChar w:fldCharType="end"/>
        </w:r>
      </w:hyperlink>
    </w:p>
    <w:p w14:paraId="00D63F0F" w14:textId="7CFD06AF"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900" w:history="1">
        <w:r w:rsidR="00232EBD" w:rsidRPr="00DF4643">
          <w:rPr>
            <w:rStyle w:val="af2"/>
            <w:rFonts w:ascii="Times New Roman" w:hAnsi="Times New Roman"/>
            <w:noProof/>
            <w:lang w:val="en-GB"/>
          </w:rPr>
          <w:t>Question 18</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_Toc52896900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49</w:t>
        </w:r>
        <w:r w:rsidR="00232EBD" w:rsidRPr="00DF4643">
          <w:rPr>
            <w:rFonts w:ascii="Times New Roman" w:hAnsi="Times New Roman"/>
            <w:noProof/>
            <w:webHidden/>
          </w:rPr>
          <w:fldChar w:fldCharType="end"/>
        </w:r>
      </w:hyperlink>
    </w:p>
    <w:p w14:paraId="363DDF84" w14:textId="0E51E3D4"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901" w:history="1">
        <w:r w:rsidR="00232EBD" w:rsidRPr="00DF4643">
          <w:rPr>
            <w:rStyle w:val="af2"/>
            <w:rFonts w:ascii="Times New Roman" w:hAnsi="Times New Roman"/>
            <w:noProof/>
            <w:lang w:val="en-GB"/>
          </w:rPr>
          <w:t>Question 19 - Connection between Articles 35 and 290 of the Association Agreement</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_Toc52896901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50</w:t>
        </w:r>
        <w:r w:rsidR="00232EBD" w:rsidRPr="00DF4643">
          <w:rPr>
            <w:rFonts w:ascii="Times New Roman" w:hAnsi="Times New Roman"/>
            <w:noProof/>
            <w:webHidden/>
          </w:rPr>
          <w:fldChar w:fldCharType="end"/>
        </w:r>
      </w:hyperlink>
    </w:p>
    <w:p w14:paraId="7EB4A637" w14:textId="5DED5A58"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902" w:history="1">
        <w:r w:rsidR="00232EBD" w:rsidRPr="00DF4643">
          <w:rPr>
            <w:rStyle w:val="af2"/>
            <w:rFonts w:ascii="Times New Roman" w:hAnsi="Times New Roman"/>
            <w:noProof/>
          </w:rPr>
          <w:t>Question</w:t>
        </w:r>
        <w:r w:rsidR="00232EBD" w:rsidRPr="00DF4643">
          <w:rPr>
            <w:rStyle w:val="af2"/>
            <w:rFonts w:ascii="Times New Roman" w:hAnsi="Times New Roman"/>
            <w:noProof/>
            <w:lang w:val="en-GB"/>
          </w:rPr>
          <w:t xml:space="preserve"> 20 – Regarding Article 290(2) of the Association Agreement</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_Toc52896902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51</w:t>
        </w:r>
        <w:r w:rsidR="00232EBD" w:rsidRPr="00DF4643">
          <w:rPr>
            <w:rFonts w:ascii="Times New Roman" w:hAnsi="Times New Roman"/>
            <w:noProof/>
            <w:webHidden/>
          </w:rPr>
          <w:fldChar w:fldCharType="end"/>
        </w:r>
      </w:hyperlink>
    </w:p>
    <w:p w14:paraId="73597A6C" w14:textId="5AC1B8CE"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903" w:history="1">
        <w:r w:rsidR="00232EBD" w:rsidRPr="00DF4643">
          <w:rPr>
            <w:rStyle w:val="af2"/>
            <w:rFonts w:ascii="Times New Roman" w:hAnsi="Times New Roman"/>
            <w:noProof/>
            <w:lang w:val="en-GB"/>
          </w:rPr>
          <w:t>Question 21</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_Toc52896903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51</w:t>
        </w:r>
        <w:r w:rsidR="00232EBD" w:rsidRPr="00DF4643">
          <w:rPr>
            <w:rFonts w:ascii="Times New Roman" w:hAnsi="Times New Roman"/>
            <w:noProof/>
            <w:webHidden/>
          </w:rPr>
          <w:fldChar w:fldCharType="end"/>
        </w:r>
      </w:hyperlink>
    </w:p>
    <w:p w14:paraId="4ABA778C" w14:textId="7B118A0A"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904" w:history="1">
        <w:r w:rsidR="00232EBD" w:rsidRPr="00DF4643">
          <w:rPr>
            <w:rStyle w:val="af2"/>
            <w:rFonts w:ascii="Times New Roman" w:hAnsi="Times New Roman"/>
            <w:noProof/>
            <w:lang w:val="en-GB"/>
          </w:rPr>
          <w:t>Question 22 –The adoption of the “2018 Amendment”</w:t>
        </w:r>
        <w:r w:rsidR="00232EBD" w:rsidRPr="00DF4643">
          <w:rPr>
            <w:rStyle w:val="af2"/>
            <w:rFonts w:ascii="Times New Roman" w:hAnsi="Times New Roman"/>
            <w:noProof/>
            <w:lang w:val="uk-UA"/>
          </w:rPr>
          <w:t xml:space="preserve"> </w:t>
        </w:r>
        <w:r w:rsidR="00232EBD" w:rsidRPr="00DF4643">
          <w:rPr>
            <w:rStyle w:val="af2"/>
            <w:rFonts w:ascii="Times New Roman" w:hAnsi="Times New Roman"/>
            <w:noProof/>
            <w:lang w:val="en-GB"/>
          </w:rPr>
          <w:t>law</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_Toc52896904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52</w:t>
        </w:r>
        <w:r w:rsidR="00232EBD" w:rsidRPr="00DF4643">
          <w:rPr>
            <w:rFonts w:ascii="Times New Roman" w:hAnsi="Times New Roman"/>
            <w:noProof/>
            <w:webHidden/>
          </w:rPr>
          <w:fldChar w:fldCharType="end"/>
        </w:r>
      </w:hyperlink>
    </w:p>
    <w:p w14:paraId="6E890881" w14:textId="08F0F575" w:rsidR="00232EBD" w:rsidRPr="00DF4643" w:rsidRDefault="004D3C1E">
      <w:pPr>
        <w:pStyle w:val="21"/>
        <w:tabs>
          <w:tab w:val="right" w:leader="dot" w:pos="9062"/>
        </w:tabs>
        <w:rPr>
          <w:rFonts w:ascii="Times New Roman" w:eastAsiaTheme="minorEastAsia" w:hAnsi="Times New Roman"/>
          <w:smallCaps w:val="0"/>
          <w:noProof/>
          <w:sz w:val="22"/>
          <w:szCs w:val="22"/>
          <w:lang w:val="uk-UA" w:eastAsia="uk-UA"/>
        </w:rPr>
      </w:pPr>
      <w:hyperlink w:anchor="_Toc52896905" w:history="1">
        <w:r w:rsidR="00232EBD" w:rsidRPr="00DF4643">
          <w:rPr>
            <w:rStyle w:val="af2"/>
            <w:rFonts w:ascii="Times New Roman" w:hAnsi="Times New Roman"/>
            <w:noProof/>
            <w:lang w:val="en-GB"/>
          </w:rPr>
          <w:t>Question 23 – Whether Ukraine has notified the WTO about the “2015 temporary export ban”</w:t>
        </w:r>
        <w:r w:rsidR="00232EBD" w:rsidRPr="00DF4643">
          <w:rPr>
            <w:rFonts w:ascii="Times New Roman" w:hAnsi="Times New Roman"/>
            <w:noProof/>
            <w:webHidden/>
          </w:rPr>
          <w:tab/>
        </w:r>
        <w:r w:rsidR="00232EBD" w:rsidRPr="00DF4643">
          <w:rPr>
            <w:rFonts w:ascii="Times New Roman" w:hAnsi="Times New Roman"/>
            <w:noProof/>
            <w:webHidden/>
          </w:rPr>
          <w:fldChar w:fldCharType="begin"/>
        </w:r>
        <w:r w:rsidR="00232EBD" w:rsidRPr="00DF4643">
          <w:rPr>
            <w:rFonts w:ascii="Times New Roman" w:hAnsi="Times New Roman"/>
            <w:noProof/>
            <w:webHidden/>
          </w:rPr>
          <w:instrText xml:space="preserve"> PAGEREF _Toc52896905 \h </w:instrText>
        </w:r>
        <w:r w:rsidR="00232EBD" w:rsidRPr="00DF4643">
          <w:rPr>
            <w:rFonts w:ascii="Times New Roman" w:hAnsi="Times New Roman"/>
            <w:noProof/>
            <w:webHidden/>
          </w:rPr>
        </w:r>
        <w:r w:rsidR="00232EBD" w:rsidRPr="00DF4643">
          <w:rPr>
            <w:rFonts w:ascii="Times New Roman" w:hAnsi="Times New Roman"/>
            <w:noProof/>
            <w:webHidden/>
          </w:rPr>
          <w:fldChar w:fldCharType="separate"/>
        </w:r>
        <w:r w:rsidR="00232EBD" w:rsidRPr="00DF4643">
          <w:rPr>
            <w:rFonts w:ascii="Times New Roman" w:hAnsi="Times New Roman"/>
            <w:noProof/>
            <w:webHidden/>
          </w:rPr>
          <w:t>54</w:t>
        </w:r>
        <w:r w:rsidR="00232EBD" w:rsidRPr="00DF4643">
          <w:rPr>
            <w:rFonts w:ascii="Times New Roman" w:hAnsi="Times New Roman"/>
            <w:noProof/>
            <w:webHidden/>
          </w:rPr>
          <w:fldChar w:fldCharType="end"/>
        </w:r>
      </w:hyperlink>
    </w:p>
    <w:p w14:paraId="6052952B" w14:textId="2740EC8A" w:rsidR="00466114" w:rsidRPr="00DF4643" w:rsidRDefault="004E6A35">
      <w:pPr>
        <w:rPr>
          <w:color w:val="000000" w:themeColor="text1"/>
          <w:sz w:val="26"/>
          <w:szCs w:val="26"/>
          <w:lang w:val="en-GB"/>
        </w:rPr>
      </w:pPr>
      <w:r w:rsidRPr="00DF4643">
        <w:rPr>
          <w:b/>
          <w:bCs/>
          <w:caps/>
          <w:color w:val="000000" w:themeColor="text1"/>
          <w:sz w:val="26"/>
          <w:szCs w:val="26"/>
          <w:lang w:val="en-GB"/>
        </w:rPr>
        <w:fldChar w:fldCharType="end"/>
      </w:r>
      <w:r w:rsidR="00466114" w:rsidRPr="00DF4643">
        <w:rPr>
          <w:color w:val="000000" w:themeColor="text1"/>
          <w:sz w:val="26"/>
          <w:szCs w:val="26"/>
          <w:lang w:val="en-GB"/>
        </w:rPr>
        <w:br w:type="page"/>
      </w:r>
    </w:p>
    <w:p w14:paraId="6F95B21C" w14:textId="7296BDFF" w:rsidR="00C74C6C" w:rsidRPr="003F63A1" w:rsidRDefault="00C74C6C" w:rsidP="00C74C6C">
      <w:pPr>
        <w:pStyle w:val="afb"/>
        <w:rPr>
          <w:rFonts w:cs="Times New Roman"/>
          <w:szCs w:val="26"/>
          <w:lang w:val="en-GB"/>
        </w:rPr>
      </w:pPr>
      <w:bookmarkStart w:id="0" w:name="_Toc40440974"/>
      <w:bookmarkStart w:id="1" w:name="_Toc40441204"/>
      <w:bookmarkStart w:id="2" w:name="_Toc40443500"/>
      <w:r w:rsidRPr="003F63A1">
        <w:rPr>
          <w:rFonts w:cs="Times New Roman"/>
          <w:szCs w:val="26"/>
          <w:lang w:val="en-GB"/>
        </w:rPr>
        <w:lastRenderedPageBreak/>
        <w:t xml:space="preserve">TABLE OF </w:t>
      </w:r>
      <w:r w:rsidRPr="003F63A1">
        <w:rPr>
          <w:rFonts w:cs="Times New Roman"/>
          <w:bCs/>
          <w:color w:val="000000" w:themeColor="text1"/>
          <w:szCs w:val="26"/>
          <w:lang w:val="en-GB"/>
        </w:rPr>
        <w:t>CASES CITED</w:t>
      </w:r>
    </w:p>
    <w:tbl>
      <w:tblPr>
        <w:tblW w:w="9918" w:type="dxa"/>
        <w:tblCellMar>
          <w:top w:w="15" w:type="dxa"/>
          <w:left w:w="15" w:type="dxa"/>
          <w:bottom w:w="15" w:type="dxa"/>
          <w:right w:w="15" w:type="dxa"/>
        </w:tblCellMar>
        <w:tblLook w:val="04A0" w:firstRow="1" w:lastRow="0" w:firstColumn="1" w:lastColumn="0" w:noHBand="0" w:noVBand="1"/>
      </w:tblPr>
      <w:tblGrid>
        <w:gridCol w:w="3397"/>
        <w:gridCol w:w="6521"/>
      </w:tblGrid>
      <w:tr w:rsidR="00FA05EE" w:rsidRPr="003F63A1" w14:paraId="2F2F1633" w14:textId="77777777" w:rsidTr="008E129E">
        <w:tc>
          <w:tcPr>
            <w:tcW w:w="3397" w:type="dxa"/>
            <w:tcBorders>
              <w:top w:val="single" w:sz="4" w:space="0" w:color="000000"/>
              <w:left w:val="single" w:sz="4" w:space="0" w:color="000000"/>
              <w:bottom w:val="single" w:sz="4" w:space="0" w:color="000000"/>
              <w:right w:val="single" w:sz="4" w:space="0" w:color="000000"/>
            </w:tcBorders>
            <w:vAlign w:val="center"/>
            <w:hideMark/>
          </w:tcPr>
          <w:p w14:paraId="56345574" w14:textId="77777777" w:rsidR="00FA05EE" w:rsidRPr="003F63A1" w:rsidRDefault="00FA05EE" w:rsidP="00C74C6C">
            <w:pPr>
              <w:jc w:val="center"/>
              <w:rPr>
                <w:b/>
                <w:color w:val="000000" w:themeColor="text1"/>
                <w:sz w:val="26"/>
                <w:szCs w:val="26"/>
                <w:lang w:val="en-GB"/>
              </w:rPr>
            </w:pPr>
            <w:r w:rsidRPr="003F63A1">
              <w:rPr>
                <w:b/>
                <w:color w:val="000000" w:themeColor="text1"/>
                <w:sz w:val="26"/>
                <w:szCs w:val="26"/>
                <w:lang w:val="en-GB"/>
              </w:rPr>
              <w:t>Short title</w:t>
            </w:r>
          </w:p>
        </w:tc>
        <w:tc>
          <w:tcPr>
            <w:tcW w:w="6521" w:type="dxa"/>
            <w:tcBorders>
              <w:top w:val="single" w:sz="4" w:space="0" w:color="000000"/>
              <w:left w:val="single" w:sz="4" w:space="0" w:color="000000"/>
              <w:bottom w:val="single" w:sz="4" w:space="0" w:color="000000"/>
              <w:right w:val="single" w:sz="4" w:space="0" w:color="000000"/>
            </w:tcBorders>
            <w:vAlign w:val="center"/>
            <w:hideMark/>
          </w:tcPr>
          <w:p w14:paraId="30BF1FAE" w14:textId="77777777" w:rsidR="00FA05EE" w:rsidRPr="003F63A1" w:rsidRDefault="00FA05EE" w:rsidP="00C74C6C">
            <w:pPr>
              <w:jc w:val="center"/>
              <w:rPr>
                <w:b/>
                <w:color w:val="000000" w:themeColor="text1"/>
                <w:sz w:val="26"/>
                <w:szCs w:val="26"/>
                <w:lang w:val="en-GB"/>
              </w:rPr>
            </w:pPr>
            <w:r w:rsidRPr="003F63A1">
              <w:rPr>
                <w:b/>
                <w:color w:val="000000" w:themeColor="text1"/>
                <w:sz w:val="26"/>
                <w:szCs w:val="26"/>
                <w:lang w:val="en-GB"/>
              </w:rPr>
              <w:t>Full Case Title and Citation</w:t>
            </w:r>
          </w:p>
        </w:tc>
      </w:tr>
      <w:tr w:rsidR="00FA05EE" w:rsidRPr="003F63A1" w14:paraId="64823DE6" w14:textId="77777777" w:rsidTr="008E129E">
        <w:tc>
          <w:tcPr>
            <w:tcW w:w="3397" w:type="dxa"/>
            <w:tcBorders>
              <w:top w:val="single" w:sz="4" w:space="0" w:color="000000"/>
              <w:left w:val="single" w:sz="4" w:space="0" w:color="000000"/>
              <w:bottom w:val="single" w:sz="4" w:space="0" w:color="000000"/>
              <w:right w:val="single" w:sz="4" w:space="0" w:color="000000"/>
            </w:tcBorders>
          </w:tcPr>
          <w:p w14:paraId="3C738103" w14:textId="77777777" w:rsidR="00FA05EE" w:rsidRPr="003F63A1" w:rsidRDefault="00FA05EE" w:rsidP="003E349C">
            <w:pPr>
              <w:ind w:left="142"/>
              <w:rPr>
                <w:i/>
                <w:iCs/>
                <w:sz w:val="26"/>
                <w:szCs w:val="26"/>
                <w:lang w:val="en-GB"/>
              </w:rPr>
            </w:pPr>
            <w:r w:rsidRPr="003F63A1">
              <w:rPr>
                <w:i/>
                <w:iCs/>
                <w:color w:val="000000"/>
                <w:sz w:val="26"/>
                <w:szCs w:val="26"/>
                <w:lang w:val="en-GB"/>
              </w:rPr>
              <w:t>EC – Fasteners (China)</w:t>
            </w:r>
          </w:p>
        </w:tc>
        <w:tc>
          <w:tcPr>
            <w:tcW w:w="6521" w:type="dxa"/>
            <w:tcBorders>
              <w:top w:val="single" w:sz="4" w:space="0" w:color="000000"/>
              <w:left w:val="single" w:sz="4" w:space="0" w:color="000000"/>
              <w:bottom w:val="single" w:sz="4" w:space="0" w:color="000000"/>
              <w:right w:val="single" w:sz="4" w:space="0" w:color="000000"/>
            </w:tcBorders>
          </w:tcPr>
          <w:p w14:paraId="36292BCE" w14:textId="77777777" w:rsidR="00FA05EE" w:rsidRPr="003F63A1" w:rsidRDefault="00FA05EE" w:rsidP="003E349C">
            <w:pPr>
              <w:ind w:left="145" w:right="101"/>
              <w:jc w:val="both"/>
              <w:rPr>
                <w:color w:val="000000"/>
                <w:sz w:val="26"/>
                <w:szCs w:val="26"/>
                <w:lang w:val="en-GB"/>
              </w:rPr>
            </w:pPr>
            <w:r w:rsidRPr="003F63A1">
              <w:rPr>
                <w:color w:val="000000"/>
                <w:sz w:val="26"/>
                <w:szCs w:val="26"/>
                <w:lang w:val="en-GB"/>
              </w:rPr>
              <w:t xml:space="preserve">Appellate Body Report, </w:t>
            </w:r>
            <w:r w:rsidRPr="003F63A1">
              <w:rPr>
                <w:i/>
                <w:iCs/>
                <w:color w:val="000000"/>
                <w:sz w:val="26"/>
                <w:szCs w:val="26"/>
                <w:lang w:val="en-GB"/>
              </w:rPr>
              <w:t>European Communities – Definitive Anti-Dumping Measures on Certain Iron or Steel Fasteners from China</w:t>
            </w:r>
            <w:r w:rsidRPr="003F63A1">
              <w:rPr>
                <w:color w:val="000000"/>
                <w:sz w:val="26"/>
                <w:szCs w:val="26"/>
                <w:lang w:val="en-GB"/>
              </w:rPr>
              <w:t xml:space="preserve">, </w:t>
            </w:r>
            <w:hyperlink r:id="rId8" w:history="1">
              <w:r w:rsidRPr="003F63A1">
                <w:rPr>
                  <w:rStyle w:val="af2"/>
                  <w:sz w:val="26"/>
                  <w:szCs w:val="26"/>
                  <w:lang w:val="en-GB"/>
                </w:rPr>
                <w:t>WT/DS397/AB/R</w:t>
              </w:r>
            </w:hyperlink>
            <w:r w:rsidRPr="003F63A1">
              <w:rPr>
                <w:color w:val="000000"/>
                <w:sz w:val="26"/>
                <w:szCs w:val="26"/>
                <w:lang w:val="en-GB"/>
              </w:rPr>
              <w:t>, adopted 28 July 2011, DSR 2011:VII, p. 3995</w:t>
            </w:r>
          </w:p>
        </w:tc>
      </w:tr>
      <w:tr w:rsidR="00FA05EE" w:rsidRPr="003F63A1" w14:paraId="1243544E" w14:textId="77777777" w:rsidTr="008E129E">
        <w:tc>
          <w:tcPr>
            <w:tcW w:w="3397" w:type="dxa"/>
            <w:tcBorders>
              <w:top w:val="single" w:sz="4" w:space="0" w:color="000000"/>
              <w:left w:val="single" w:sz="4" w:space="0" w:color="000000"/>
              <w:bottom w:val="single" w:sz="4" w:space="0" w:color="000000"/>
              <w:right w:val="single" w:sz="4" w:space="0" w:color="000000"/>
            </w:tcBorders>
          </w:tcPr>
          <w:p w14:paraId="738D8601" w14:textId="4E3D9634" w:rsidR="00FA05EE" w:rsidRPr="003F63A1" w:rsidRDefault="008E129E" w:rsidP="003E349C">
            <w:pPr>
              <w:ind w:left="142"/>
              <w:rPr>
                <w:i/>
                <w:iCs/>
                <w:sz w:val="26"/>
                <w:szCs w:val="26"/>
                <w:lang w:val="en-GB"/>
              </w:rPr>
            </w:pPr>
            <w:r>
              <w:rPr>
                <w:i/>
                <w:iCs/>
                <w:color w:val="000000"/>
                <w:sz w:val="26"/>
                <w:szCs w:val="26"/>
                <w:lang w:val="en-GB"/>
              </w:rPr>
              <w:t>EC and certain member States </w:t>
            </w:r>
            <w:r w:rsidR="00FA05EE" w:rsidRPr="003F63A1">
              <w:rPr>
                <w:i/>
                <w:iCs/>
                <w:color w:val="000000"/>
                <w:sz w:val="26"/>
                <w:szCs w:val="26"/>
                <w:lang w:val="en-GB"/>
              </w:rPr>
              <w:t>– Large Civil Aircraft</w:t>
            </w:r>
          </w:p>
        </w:tc>
        <w:tc>
          <w:tcPr>
            <w:tcW w:w="6521" w:type="dxa"/>
            <w:tcBorders>
              <w:top w:val="single" w:sz="4" w:space="0" w:color="000000"/>
              <w:left w:val="single" w:sz="4" w:space="0" w:color="000000"/>
              <w:bottom w:val="single" w:sz="4" w:space="0" w:color="000000"/>
              <w:right w:val="single" w:sz="4" w:space="0" w:color="000000"/>
            </w:tcBorders>
          </w:tcPr>
          <w:p w14:paraId="175AD252" w14:textId="77777777" w:rsidR="00FA05EE" w:rsidRPr="003F63A1" w:rsidRDefault="00FA05EE" w:rsidP="003E349C">
            <w:pPr>
              <w:ind w:left="145" w:right="101"/>
              <w:jc w:val="both"/>
              <w:rPr>
                <w:color w:val="000000"/>
                <w:sz w:val="26"/>
                <w:szCs w:val="26"/>
                <w:lang w:val="en-GB"/>
              </w:rPr>
            </w:pPr>
            <w:r w:rsidRPr="003F63A1">
              <w:rPr>
                <w:color w:val="000000"/>
                <w:sz w:val="26"/>
                <w:szCs w:val="26"/>
                <w:lang w:val="en-GB"/>
              </w:rPr>
              <w:t xml:space="preserve">Appellate Body Report, </w:t>
            </w:r>
            <w:r w:rsidRPr="003F63A1">
              <w:rPr>
                <w:i/>
                <w:iCs/>
                <w:color w:val="000000"/>
                <w:sz w:val="26"/>
                <w:szCs w:val="26"/>
                <w:lang w:val="en-GB"/>
              </w:rPr>
              <w:t>European Communities and Certain Member States – Measures Affecting Trade in Large Civil Aircraft</w:t>
            </w:r>
            <w:r w:rsidRPr="003F63A1">
              <w:rPr>
                <w:color w:val="000000"/>
                <w:sz w:val="26"/>
                <w:szCs w:val="26"/>
                <w:lang w:val="en-GB"/>
              </w:rPr>
              <w:t xml:space="preserve">, </w:t>
            </w:r>
            <w:hyperlink r:id="rId9" w:history="1">
              <w:r w:rsidRPr="003F63A1">
                <w:rPr>
                  <w:rStyle w:val="af2"/>
                  <w:sz w:val="26"/>
                  <w:szCs w:val="26"/>
                  <w:lang w:val="en-GB"/>
                </w:rPr>
                <w:t>WT/DS316/AB/R</w:t>
              </w:r>
            </w:hyperlink>
            <w:r w:rsidRPr="003F63A1">
              <w:rPr>
                <w:color w:val="000000"/>
                <w:sz w:val="26"/>
                <w:szCs w:val="26"/>
                <w:lang w:val="en-GB"/>
              </w:rPr>
              <w:t>, adopted 1 June 2011, DSR 2011:I, p. 7</w:t>
            </w:r>
          </w:p>
        </w:tc>
      </w:tr>
      <w:tr w:rsidR="00FA05EE" w:rsidRPr="003F63A1" w14:paraId="6C154335" w14:textId="77777777" w:rsidTr="008E129E">
        <w:tc>
          <w:tcPr>
            <w:tcW w:w="3397" w:type="dxa"/>
            <w:tcBorders>
              <w:top w:val="single" w:sz="4" w:space="0" w:color="000000"/>
              <w:left w:val="single" w:sz="4" w:space="0" w:color="000000"/>
              <w:bottom w:val="single" w:sz="4" w:space="0" w:color="000000"/>
              <w:right w:val="single" w:sz="4" w:space="0" w:color="000000"/>
            </w:tcBorders>
          </w:tcPr>
          <w:p w14:paraId="3C05F6DF" w14:textId="77777777" w:rsidR="00FA05EE" w:rsidRPr="003F63A1" w:rsidRDefault="00FA05EE" w:rsidP="00660900">
            <w:pPr>
              <w:ind w:left="142"/>
              <w:rPr>
                <w:i/>
                <w:iCs/>
                <w:sz w:val="26"/>
                <w:szCs w:val="26"/>
                <w:lang w:val="en-GB"/>
              </w:rPr>
            </w:pPr>
            <w:r w:rsidRPr="003F63A1">
              <w:rPr>
                <w:i/>
                <w:color w:val="000000"/>
                <w:sz w:val="26"/>
                <w:szCs w:val="26"/>
                <w:lang w:val="en-GB"/>
              </w:rPr>
              <w:t>EU – Energy Package</w:t>
            </w:r>
          </w:p>
        </w:tc>
        <w:tc>
          <w:tcPr>
            <w:tcW w:w="6521" w:type="dxa"/>
            <w:tcBorders>
              <w:top w:val="single" w:sz="4" w:space="0" w:color="000000"/>
              <w:left w:val="single" w:sz="4" w:space="0" w:color="000000"/>
              <w:bottom w:val="single" w:sz="4" w:space="0" w:color="000000"/>
              <w:right w:val="single" w:sz="4" w:space="0" w:color="000000"/>
            </w:tcBorders>
          </w:tcPr>
          <w:p w14:paraId="4BDCAE3D" w14:textId="77777777" w:rsidR="00FA05EE" w:rsidRPr="003F63A1" w:rsidRDefault="00FA05EE" w:rsidP="00660900">
            <w:pPr>
              <w:ind w:left="145" w:right="101"/>
              <w:jc w:val="both"/>
              <w:rPr>
                <w:color w:val="000000"/>
                <w:sz w:val="26"/>
                <w:szCs w:val="26"/>
                <w:lang w:val="en-GB"/>
              </w:rPr>
            </w:pPr>
            <w:r w:rsidRPr="003F63A1">
              <w:rPr>
                <w:iCs/>
                <w:color w:val="000000"/>
                <w:sz w:val="26"/>
                <w:szCs w:val="26"/>
                <w:lang w:val="en-GB"/>
              </w:rPr>
              <w:t xml:space="preserve">Panel Report, </w:t>
            </w:r>
            <w:r w:rsidRPr="003F63A1">
              <w:rPr>
                <w:i/>
                <w:iCs/>
                <w:color w:val="000000"/>
                <w:sz w:val="26"/>
                <w:szCs w:val="26"/>
                <w:lang w:val="en-GB"/>
              </w:rPr>
              <w:t>European Union and its member States – Certain Measures Relating to the Energy Sector</w:t>
            </w:r>
            <w:r w:rsidRPr="003F63A1">
              <w:rPr>
                <w:iCs/>
                <w:color w:val="000000"/>
                <w:sz w:val="26"/>
                <w:szCs w:val="26"/>
                <w:lang w:val="en-GB"/>
              </w:rPr>
              <w:t xml:space="preserve">, </w:t>
            </w:r>
            <w:hyperlink r:id="rId10" w:history="1">
              <w:r w:rsidRPr="003F63A1">
                <w:rPr>
                  <w:rStyle w:val="af2"/>
                  <w:iCs/>
                  <w:sz w:val="26"/>
                  <w:szCs w:val="26"/>
                  <w:lang w:val="en-GB"/>
                </w:rPr>
                <w:t>WT/DS476/R</w:t>
              </w:r>
            </w:hyperlink>
            <w:r w:rsidRPr="003F63A1">
              <w:rPr>
                <w:iCs/>
                <w:color w:val="000000"/>
                <w:sz w:val="26"/>
                <w:szCs w:val="26"/>
                <w:lang w:val="en-GB"/>
              </w:rPr>
              <w:t xml:space="preserve"> and Add.1, </w:t>
            </w:r>
            <w:r w:rsidRPr="003F63A1">
              <w:rPr>
                <w:color w:val="000000"/>
                <w:sz w:val="26"/>
                <w:szCs w:val="26"/>
                <w:lang w:val="en-GB"/>
              </w:rPr>
              <w:t xml:space="preserve">circulated to WTO Members 10 August 2018 [appealed by the European Union 21 September 2018 </w:t>
            </w:r>
            <w:r w:rsidRPr="003F63A1">
              <w:rPr>
                <w:sz w:val="26"/>
                <w:szCs w:val="26"/>
                <w:lang w:val="en-GB"/>
              </w:rPr>
              <w:t>– the Division suspended its work on 10 December 2019</w:t>
            </w:r>
            <w:r w:rsidRPr="003F63A1">
              <w:rPr>
                <w:color w:val="000000"/>
                <w:sz w:val="26"/>
                <w:szCs w:val="26"/>
                <w:lang w:val="en-GB"/>
              </w:rPr>
              <w:t>]</w:t>
            </w:r>
          </w:p>
        </w:tc>
      </w:tr>
      <w:tr w:rsidR="00FA05EE" w:rsidRPr="003F63A1" w14:paraId="7CBDB8A1" w14:textId="77777777" w:rsidTr="008E129E">
        <w:tc>
          <w:tcPr>
            <w:tcW w:w="3397" w:type="dxa"/>
            <w:tcBorders>
              <w:top w:val="single" w:sz="4" w:space="0" w:color="000000"/>
              <w:left w:val="single" w:sz="4" w:space="0" w:color="000000"/>
              <w:bottom w:val="single" w:sz="4" w:space="0" w:color="000000"/>
              <w:right w:val="single" w:sz="4" w:space="0" w:color="000000"/>
            </w:tcBorders>
          </w:tcPr>
          <w:p w14:paraId="06C03B6C" w14:textId="77777777" w:rsidR="00FA05EE" w:rsidRPr="003F63A1" w:rsidRDefault="00FA05EE" w:rsidP="003E349C">
            <w:pPr>
              <w:ind w:left="142"/>
              <w:rPr>
                <w:i/>
                <w:iCs/>
                <w:sz w:val="26"/>
                <w:szCs w:val="26"/>
                <w:lang w:val="en-GB"/>
              </w:rPr>
            </w:pPr>
            <w:r w:rsidRPr="003F63A1">
              <w:rPr>
                <w:i/>
                <w:color w:val="000000"/>
                <w:sz w:val="26"/>
                <w:szCs w:val="26"/>
                <w:lang w:val="en-GB"/>
              </w:rPr>
              <w:t>Mexico – Corn Syrup (Article 21.5 – US)</w:t>
            </w:r>
          </w:p>
        </w:tc>
        <w:tc>
          <w:tcPr>
            <w:tcW w:w="6521" w:type="dxa"/>
            <w:tcBorders>
              <w:top w:val="single" w:sz="4" w:space="0" w:color="000000"/>
              <w:left w:val="single" w:sz="4" w:space="0" w:color="000000"/>
              <w:bottom w:val="single" w:sz="4" w:space="0" w:color="000000"/>
              <w:right w:val="single" w:sz="4" w:space="0" w:color="000000"/>
            </w:tcBorders>
          </w:tcPr>
          <w:p w14:paraId="17B458C2" w14:textId="77777777" w:rsidR="00FA05EE" w:rsidRPr="003F63A1" w:rsidRDefault="00FA05EE" w:rsidP="003E349C">
            <w:pPr>
              <w:ind w:left="145" w:right="101"/>
              <w:jc w:val="both"/>
              <w:rPr>
                <w:color w:val="000000"/>
                <w:sz w:val="26"/>
                <w:szCs w:val="26"/>
                <w:lang w:val="en-GB"/>
              </w:rPr>
            </w:pPr>
            <w:r w:rsidRPr="003F63A1">
              <w:rPr>
                <w:color w:val="000000"/>
                <w:sz w:val="26"/>
                <w:szCs w:val="26"/>
                <w:lang w:val="en-GB"/>
              </w:rPr>
              <w:t xml:space="preserve">Appellate Body Report, </w:t>
            </w:r>
            <w:r w:rsidRPr="003F63A1">
              <w:rPr>
                <w:i/>
                <w:color w:val="000000"/>
                <w:sz w:val="26"/>
                <w:szCs w:val="26"/>
                <w:lang w:val="en-GB"/>
              </w:rPr>
              <w:t>Mexico – Anti-Dumping Investigation of High Fructose Corn Syrup (HFCS) from the United States – Recourse to Article 21.5 of the DSU</w:t>
            </w:r>
            <w:r w:rsidRPr="003F63A1">
              <w:rPr>
                <w:color w:val="000000"/>
                <w:sz w:val="26"/>
                <w:szCs w:val="26"/>
                <w:lang w:val="en-GB"/>
              </w:rPr>
              <w:t xml:space="preserve"> </w:t>
            </w:r>
            <w:r w:rsidRPr="003F63A1">
              <w:rPr>
                <w:i/>
                <w:color w:val="000000"/>
                <w:sz w:val="26"/>
                <w:szCs w:val="26"/>
                <w:lang w:val="en-GB"/>
              </w:rPr>
              <w:t>by the United States</w:t>
            </w:r>
            <w:r w:rsidRPr="003F63A1">
              <w:rPr>
                <w:color w:val="000000"/>
                <w:sz w:val="26"/>
                <w:szCs w:val="26"/>
                <w:lang w:val="en-GB"/>
              </w:rPr>
              <w:t xml:space="preserve">, </w:t>
            </w:r>
            <w:hyperlink r:id="rId11" w:history="1">
              <w:r w:rsidRPr="003F63A1">
                <w:rPr>
                  <w:rStyle w:val="af2"/>
                  <w:sz w:val="26"/>
                  <w:szCs w:val="26"/>
                  <w:lang w:val="en-GB"/>
                </w:rPr>
                <w:t>WT/DS132/AB/RW</w:t>
              </w:r>
            </w:hyperlink>
            <w:r w:rsidRPr="003F63A1">
              <w:rPr>
                <w:color w:val="000000"/>
                <w:sz w:val="26"/>
                <w:szCs w:val="26"/>
                <w:lang w:val="en-GB"/>
              </w:rPr>
              <w:t>, adopted 21 November 2001, DSR 2001:XIII, p. 6675</w:t>
            </w:r>
          </w:p>
        </w:tc>
      </w:tr>
      <w:tr w:rsidR="00FA05EE" w:rsidRPr="003F63A1" w14:paraId="183D32D8" w14:textId="77777777" w:rsidTr="008E129E">
        <w:tc>
          <w:tcPr>
            <w:tcW w:w="3397" w:type="dxa"/>
            <w:tcBorders>
              <w:top w:val="single" w:sz="4" w:space="0" w:color="000000"/>
              <w:left w:val="single" w:sz="4" w:space="0" w:color="000000"/>
              <w:bottom w:val="single" w:sz="4" w:space="0" w:color="000000"/>
              <w:right w:val="single" w:sz="4" w:space="0" w:color="000000"/>
            </w:tcBorders>
          </w:tcPr>
          <w:p w14:paraId="1560F47F" w14:textId="77777777" w:rsidR="00FA05EE" w:rsidRPr="003F63A1" w:rsidRDefault="00FA05EE" w:rsidP="00971484">
            <w:pPr>
              <w:ind w:left="142"/>
              <w:rPr>
                <w:i/>
                <w:iCs/>
                <w:sz w:val="26"/>
                <w:szCs w:val="26"/>
                <w:lang w:val="en-GB"/>
              </w:rPr>
            </w:pPr>
            <w:r w:rsidRPr="003F63A1">
              <w:rPr>
                <w:i/>
                <w:color w:val="000000"/>
                <w:sz w:val="26"/>
                <w:szCs w:val="26"/>
                <w:lang w:val="en-GB"/>
              </w:rPr>
              <w:t>Morocco – Hot-Rolled Steel (Turkey)</w:t>
            </w:r>
          </w:p>
        </w:tc>
        <w:tc>
          <w:tcPr>
            <w:tcW w:w="6521" w:type="dxa"/>
            <w:tcBorders>
              <w:top w:val="single" w:sz="4" w:space="0" w:color="000000"/>
              <w:left w:val="single" w:sz="4" w:space="0" w:color="000000"/>
              <w:bottom w:val="single" w:sz="4" w:space="0" w:color="000000"/>
              <w:right w:val="single" w:sz="4" w:space="0" w:color="000000"/>
            </w:tcBorders>
          </w:tcPr>
          <w:p w14:paraId="4390774A" w14:textId="77777777" w:rsidR="00FA05EE" w:rsidRPr="003F63A1" w:rsidRDefault="00FA05EE" w:rsidP="00971484">
            <w:pPr>
              <w:ind w:left="145" w:right="101"/>
              <w:jc w:val="both"/>
              <w:rPr>
                <w:color w:val="000000"/>
                <w:sz w:val="26"/>
                <w:szCs w:val="26"/>
                <w:lang w:val="en-GB"/>
              </w:rPr>
            </w:pPr>
            <w:bookmarkStart w:id="3" w:name="_Hlk30057135"/>
            <w:r w:rsidRPr="003F63A1">
              <w:rPr>
                <w:color w:val="000000"/>
                <w:sz w:val="26"/>
                <w:szCs w:val="26"/>
                <w:lang w:val="en-GB"/>
              </w:rPr>
              <w:t xml:space="preserve">Panel Report, </w:t>
            </w:r>
            <w:r w:rsidRPr="003F63A1">
              <w:rPr>
                <w:i/>
                <w:color w:val="000000"/>
                <w:sz w:val="26"/>
                <w:szCs w:val="26"/>
                <w:lang w:val="en-GB"/>
              </w:rPr>
              <w:t>Morocco – Anti-dumping Measures on Certain Hot-Rolled Steel from Turkey</w:t>
            </w:r>
            <w:r w:rsidRPr="003F63A1">
              <w:rPr>
                <w:color w:val="000000"/>
                <w:sz w:val="26"/>
                <w:szCs w:val="26"/>
                <w:lang w:val="en-GB"/>
              </w:rPr>
              <w:t xml:space="preserve">, </w:t>
            </w:r>
            <w:hyperlink r:id="rId12" w:history="1">
              <w:r w:rsidRPr="003F63A1">
                <w:rPr>
                  <w:rStyle w:val="af2"/>
                  <w:sz w:val="26"/>
                  <w:szCs w:val="26"/>
                  <w:lang w:val="en-GB"/>
                </w:rPr>
                <w:t>WT/DS513/R</w:t>
              </w:r>
            </w:hyperlink>
            <w:r w:rsidRPr="003F63A1">
              <w:rPr>
                <w:color w:val="000000"/>
                <w:sz w:val="26"/>
                <w:szCs w:val="26"/>
                <w:lang w:val="en-GB"/>
              </w:rPr>
              <w:t xml:space="preserve"> and Add.1, </w:t>
            </w:r>
            <w:r w:rsidRPr="003F63A1">
              <w:rPr>
                <w:sz w:val="26"/>
                <w:szCs w:val="26"/>
                <w:lang w:val="en-GB"/>
              </w:rPr>
              <w:t>adopted 8 January 2020; appeal withdrawn by Morocco as reflected in Appellate Body Report WT/DS513/AB/R</w:t>
            </w:r>
            <w:bookmarkEnd w:id="3"/>
          </w:p>
        </w:tc>
      </w:tr>
      <w:tr w:rsidR="00FA05EE" w:rsidRPr="003F63A1" w14:paraId="0854617B" w14:textId="77777777" w:rsidTr="008E129E">
        <w:tc>
          <w:tcPr>
            <w:tcW w:w="3397" w:type="dxa"/>
            <w:tcBorders>
              <w:top w:val="single" w:sz="4" w:space="0" w:color="000000"/>
              <w:left w:val="single" w:sz="4" w:space="0" w:color="000000"/>
              <w:bottom w:val="single" w:sz="4" w:space="0" w:color="000000"/>
              <w:right w:val="single" w:sz="4" w:space="0" w:color="000000"/>
            </w:tcBorders>
          </w:tcPr>
          <w:p w14:paraId="7ED43D97" w14:textId="618CB4CD" w:rsidR="00FA05EE" w:rsidRPr="003F63A1" w:rsidRDefault="00FA05EE" w:rsidP="00C74C6C">
            <w:pPr>
              <w:ind w:left="142"/>
              <w:rPr>
                <w:i/>
                <w:color w:val="000000"/>
                <w:sz w:val="26"/>
                <w:szCs w:val="26"/>
                <w:highlight w:val="yellow"/>
                <w:lang w:val="en-GB"/>
              </w:rPr>
            </w:pPr>
            <w:r w:rsidRPr="003F63A1">
              <w:rPr>
                <w:i/>
                <w:iCs/>
                <w:sz w:val="26"/>
                <w:szCs w:val="26"/>
                <w:lang w:val="en-GB"/>
              </w:rPr>
              <w:t xml:space="preserve">United States </w:t>
            </w:r>
            <w:r w:rsidR="00A65618" w:rsidRPr="003F63A1">
              <w:rPr>
                <w:i/>
                <w:color w:val="000000"/>
                <w:sz w:val="26"/>
                <w:szCs w:val="26"/>
                <w:lang w:val="en-GB"/>
              </w:rPr>
              <w:t>–</w:t>
            </w:r>
            <w:r w:rsidRPr="003F63A1">
              <w:rPr>
                <w:i/>
                <w:iCs/>
                <w:sz w:val="26"/>
                <w:szCs w:val="26"/>
                <w:lang w:val="en-GB"/>
              </w:rPr>
              <w:t xml:space="preserve"> Anti-Dumping Act of 1916</w:t>
            </w:r>
          </w:p>
        </w:tc>
        <w:tc>
          <w:tcPr>
            <w:tcW w:w="6521" w:type="dxa"/>
            <w:tcBorders>
              <w:top w:val="single" w:sz="4" w:space="0" w:color="000000"/>
              <w:left w:val="single" w:sz="4" w:space="0" w:color="000000"/>
              <w:bottom w:val="single" w:sz="4" w:space="0" w:color="000000"/>
              <w:right w:val="single" w:sz="4" w:space="0" w:color="000000"/>
            </w:tcBorders>
          </w:tcPr>
          <w:p w14:paraId="2F4BC1BE" w14:textId="77777777" w:rsidR="00FA05EE" w:rsidRPr="003F63A1" w:rsidRDefault="00FA05EE" w:rsidP="00C74C6C">
            <w:pPr>
              <w:ind w:left="145" w:right="101"/>
              <w:jc w:val="both"/>
              <w:rPr>
                <w:color w:val="000000"/>
                <w:sz w:val="26"/>
                <w:szCs w:val="26"/>
                <w:lang w:val="en-GB"/>
              </w:rPr>
            </w:pPr>
            <w:r w:rsidRPr="003F63A1">
              <w:rPr>
                <w:color w:val="000000"/>
                <w:sz w:val="26"/>
                <w:szCs w:val="26"/>
                <w:lang w:val="en-GB"/>
              </w:rPr>
              <w:t xml:space="preserve">Appellate Body Report, </w:t>
            </w:r>
            <w:r w:rsidRPr="003F63A1">
              <w:rPr>
                <w:i/>
                <w:color w:val="000000"/>
                <w:sz w:val="26"/>
                <w:szCs w:val="26"/>
                <w:lang w:val="en-GB"/>
              </w:rPr>
              <w:t>United States – Anti-Dumping Act of 1916</w:t>
            </w:r>
            <w:r w:rsidRPr="003F63A1">
              <w:rPr>
                <w:color w:val="000000"/>
                <w:sz w:val="26"/>
                <w:szCs w:val="26"/>
                <w:lang w:val="en-GB"/>
              </w:rPr>
              <w:t xml:space="preserve">, </w:t>
            </w:r>
            <w:hyperlink r:id="rId13" w:history="1">
              <w:r w:rsidRPr="003F63A1">
                <w:rPr>
                  <w:rStyle w:val="af2"/>
                  <w:sz w:val="26"/>
                  <w:szCs w:val="26"/>
                  <w:lang w:val="en-GB"/>
                </w:rPr>
                <w:t>WT/DS136/AB/R</w:t>
              </w:r>
            </w:hyperlink>
            <w:r w:rsidRPr="003F63A1">
              <w:rPr>
                <w:color w:val="000000"/>
                <w:sz w:val="26"/>
                <w:szCs w:val="26"/>
                <w:lang w:val="en-GB"/>
              </w:rPr>
              <w:t xml:space="preserve">, </w:t>
            </w:r>
            <w:hyperlink r:id="rId14" w:history="1">
              <w:r w:rsidRPr="003F63A1">
                <w:rPr>
                  <w:rStyle w:val="af2"/>
                  <w:sz w:val="26"/>
                  <w:szCs w:val="26"/>
                  <w:lang w:val="en-GB"/>
                </w:rPr>
                <w:t>WT/DS162/AB/R</w:t>
              </w:r>
            </w:hyperlink>
            <w:r w:rsidRPr="003F63A1">
              <w:rPr>
                <w:color w:val="000000"/>
                <w:sz w:val="26"/>
                <w:szCs w:val="26"/>
                <w:lang w:val="en-GB"/>
              </w:rPr>
              <w:t>, adopted 26 September 2000, DSR 2000:X, p. 4793</w:t>
            </w:r>
          </w:p>
        </w:tc>
      </w:tr>
    </w:tbl>
    <w:p w14:paraId="6D61623E" w14:textId="77777777" w:rsidR="00921E52" w:rsidRDefault="00921E52" w:rsidP="00C74C6C">
      <w:pPr>
        <w:rPr>
          <w:smallCaps/>
          <w:sz w:val="26"/>
          <w:szCs w:val="26"/>
          <w:highlight w:val="yellow"/>
          <w:u w:val="single"/>
          <w:lang w:val="en-GB"/>
        </w:rPr>
        <w:sectPr w:rsidR="00921E52" w:rsidSect="00921E52">
          <w:headerReference w:type="default" r:id="rId15"/>
          <w:footerReference w:type="even" r:id="rId16"/>
          <w:footerReference w:type="default" r:id="rId17"/>
          <w:headerReference w:type="first" r:id="rId18"/>
          <w:footerReference w:type="first" r:id="rId19"/>
          <w:type w:val="continuous"/>
          <w:pgSz w:w="11906" w:h="16838"/>
          <w:pgMar w:top="1417" w:right="1417" w:bottom="1134" w:left="1417" w:header="708" w:footer="708" w:gutter="0"/>
          <w:pgNumType w:fmt="lowerRoman" w:start="1"/>
          <w:cols w:space="708"/>
          <w:titlePg/>
          <w:docGrid w:linePitch="360"/>
        </w:sectPr>
      </w:pPr>
    </w:p>
    <w:p w14:paraId="3C689802" w14:textId="108B364F" w:rsidR="00913144" w:rsidRPr="003F63A1" w:rsidRDefault="00913144" w:rsidP="007E2594">
      <w:pPr>
        <w:pStyle w:val="1"/>
        <w:jc w:val="both"/>
        <w:rPr>
          <w:rFonts w:cs="Times New Roman"/>
          <w:szCs w:val="26"/>
          <w:lang w:val="en-GB"/>
        </w:rPr>
      </w:pPr>
      <w:bookmarkStart w:id="4" w:name="_Toc52886564"/>
      <w:bookmarkStart w:id="5" w:name="_Toc52896869"/>
      <w:bookmarkStart w:id="6" w:name="_Toc40437459"/>
      <w:bookmarkStart w:id="7" w:name="_Toc451167356"/>
      <w:bookmarkStart w:id="8" w:name="_Toc40440975"/>
      <w:bookmarkStart w:id="9" w:name="_Toc40441205"/>
      <w:bookmarkStart w:id="10" w:name="_Toc40443501"/>
      <w:bookmarkStart w:id="11" w:name="_Toc47088682"/>
      <w:bookmarkEnd w:id="0"/>
      <w:bookmarkEnd w:id="1"/>
      <w:bookmarkEnd w:id="2"/>
      <w:r w:rsidRPr="003F63A1">
        <w:rPr>
          <w:rFonts w:cs="Times New Roman"/>
          <w:szCs w:val="26"/>
          <w:lang w:val="en-GB"/>
        </w:rPr>
        <w:lastRenderedPageBreak/>
        <w:t xml:space="preserve">Panel’s Questions in respect of </w:t>
      </w:r>
      <w:r w:rsidR="0037528C" w:rsidRPr="003F63A1">
        <w:rPr>
          <w:rFonts w:cs="Times New Roman"/>
          <w:szCs w:val="26"/>
          <w:lang w:val="en-GB"/>
        </w:rPr>
        <w:t>the Points of Or</w:t>
      </w:r>
      <w:r w:rsidR="001173F2" w:rsidRPr="003F63A1">
        <w:rPr>
          <w:rFonts w:cs="Times New Roman"/>
          <w:szCs w:val="26"/>
          <w:lang w:val="en-GB"/>
        </w:rPr>
        <w:t>der</w:t>
      </w:r>
      <w:r w:rsidR="001173F2" w:rsidRPr="003F63A1">
        <w:rPr>
          <w:rFonts w:cs="Times New Roman"/>
          <w:szCs w:val="26"/>
          <w:lang w:val="en-GB"/>
        </w:rPr>
        <w:br/>
      </w:r>
      <w:r w:rsidR="0037528C" w:rsidRPr="003F63A1">
        <w:rPr>
          <w:rFonts w:cs="Times New Roman"/>
          <w:szCs w:val="26"/>
          <w:lang w:val="en-GB"/>
        </w:rPr>
        <w:t xml:space="preserve">raised by the </w:t>
      </w:r>
      <w:r w:rsidRPr="003F63A1">
        <w:rPr>
          <w:rFonts w:cs="Times New Roman"/>
          <w:szCs w:val="26"/>
          <w:lang w:val="en-GB"/>
        </w:rPr>
        <w:t>European Union</w:t>
      </w:r>
      <w:bookmarkEnd w:id="4"/>
      <w:bookmarkEnd w:id="5"/>
    </w:p>
    <w:p w14:paraId="0AF8B55C" w14:textId="1FE22FBC" w:rsidR="00144C43" w:rsidRPr="003F63A1" w:rsidRDefault="00EC0BD7" w:rsidP="006A0696">
      <w:pPr>
        <w:pStyle w:val="2"/>
        <w:rPr>
          <w:rFonts w:cs="Times New Roman"/>
          <w:lang w:val="en-GB"/>
        </w:rPr>
      </w:pPr>
      <w:bookmarkStart w:id="12" w:name="_Toc47088684"/>
      <w:bookmarkStart w:id="13" w:name="_Toc52886565"/>
      <w:bookmarkStart w:id="14" w:name="_Toc52896870"/>
      <w:bookmarkEnd w:id="6"/>
      <w:bookmarkEnd w:id="7"/>
      <w:bookmarkEnd w:id="8"/>
      <w:bookmarkEnd w:id="9"/>
      <w:bookmarkEnd w:id="10"/>
      <w:bookmarkEnd w:id="11"/>
      <w:r w:rsidRPr="003F63A1">
        <w:rPr>
          <w:rFonts w:cs="Times New Roman"/>
          <w:lang w:val="en-GB"/>
        </w:rPr>
        <w:t>Question 1</w:t>
      </w:r>
      <w:bookmarkEnd w:id="12"/>
      <w:r w:rsidR="008713FA" w:rsidRPr="003F63A1">
        <w:rPr>
          <w:rFonts w:cs="Times New Roman"/>
          <w:lang w:val="en-GB"/>
        </w:rPr>
        <w:t xml:space="preserve"> – Ukraine’s jurisdictional/admissibility objection</w:t>
      </w:r>
      <w:bookmarkEnd w:id="13"/>
      <w:bookmarkEnd w:id="14"/>
    </w:p>
    <w:p w14:paraId="7596557F" w14:textId="21789C3A" w:rsidR="00EC0BD7" w:rsidRPr="003F63A1" w:rsidRDefault="00337289" w:rsidP="007E2594">
      <w:pPr>
        <w:pStyle w:val="afd"/>
        <w:rPr>
          <w:rFonts w:cs="Times New Roman"/>
          <w:i w:val="0"/>
          <w:szCs w:val="26"/>
          <w:lang w:val="en-GB"/>
        </w:rPr>
      </w:pPr>
      <w:r w:rsidRPr="003F63A1">
        <w:rPr>
          <w:rFonts w:cs="Times New Roman"/>
          <w:b/>
          <w:i w:val="0"/>
          <w:szCs w:val="26"/>
          <w:lang w:val="en-GB"/>
        </w:rPr>
        <w:t>MR Giorgio SACERDOTI</w:t>
      </w:r>
      <w:r w:rsidRPr="003F63A1">
        <w:rPr>
          <w:rFonts w:cs="Times New Roman"/>
          <w:i w:val="0"/>
          <w:szCs w:val="26"/>
          <w:lang w:val="en-GB"/>
        </w:rPr>
        <w:t>: “…c</w:t>
      </w:r>
      <w:r w:rsidR="008D464B" w:rsidRPr="003F63A1">
        <w:rPr>
          <w:rFonts w:cs="Times New Roman"/>
          <w:i w:val="0"/>
          <w:szCs w:val="26"/>
          <w:lang w:val="en-GB"/>
        </w:rPr>
        <w:t>oncerning Ukraine</w:t>
      </w:r>
      <w:r w:rsidR="00B76392" w:rsidRPr="003F63A1">
        <w:rPr>
          <w:rFonts w:cs="Times New Roman"/>
          <w:i w:val="0"/>
          <w:szCs w:val="26"/>
          <w:lang w:val="en-GB"/>
        </w:rPr>
        <w:t>’</w:t>
      </w:r>
      <w:r w:rsidR="008D464B" w:rsidRPr="003F63A1">
        <w:rPr>
          <w:rFonts w:cs="Times New Roman"/>
          <w:i w:val="0"/>
          <w:szCs w:val="26"/>
          <w:lang w:val="en-GB"/>
        </w:rPr>
        <w:t>s request number 1 at the final paragraph 132</w:t>
      </w:r>
      <w:r w:rsidR="00436924" w:rsidRPr="003F63A1">
        <w:rPr>
          <w:rFonts w:cs="Times New Roman"/>
          <w:i w:val="0"/>
          <w:szCs w:val="26"/>
          <w:lang w:val="en-GB"/>
        </w:rPr>
        <w:t xml:space="preserve"> [of the Provisional Opening Oral Statement of Ukraine]</w:t>
      </w:r>
      <w:r w:rsidR="008D464B" w:rsidRPr="003F63A1">
        <w:rPr>
          <w:rFonts w:cs="Times New Roman"/>
          <w:i w:val="0"/>
          <w:szCs w:val="26"/>
          <w:lang w:val="en-GB"/>
        </w:rPr>
        <w:t xml:space="preserve"> that </w:t>
      </w:r>
      <w:r w:rsidR="00A33AF0">
        <w:rPr>
          <w:rFonts w:cs="Times New Roman"/>
          <w:i w:val="0"/>
          <w:szCs w:val="26"/>
          <w:lang w:val="en-GB"/>
        </w:rPr>
        <w:t>[</w:t>
      </w:r>
      <w:r w:rsidR="003F63A1" w:rsidRPr="003F63A1">
        <w:rPr>
          <w:rFonts w:cs="Times New Roman"/>
          <w:i w:val="0"/>
          <w:szCs w:val="26"/>
          <w:lang w:val="en-GB"/>
        </w:rPr>
        <w:t>European Union</w:t>
      </w:r>
      <w:r w:rsidR="00A33AF0">
        <w:rPr>
          <w:rFonts w:cs="Times New Roman"/>
          <w:i w:val="0"/>
          <w:szCs w:val="26"/>
          <w:lang w:val="en-GB"/>
        </w:rPr>
        <w:t>]</w:t>
      </w:r>
      <w:r w:rsidR="00B76392" w:rsidRPr="003F63A1">
        <w:rPr>
          <w:rFonts w:cs="Times New Roman"/>
          <w:i w:val="0"/>
          <w:szCs w:val="26"/>
          <w:lang w:val="en-GB"/>
        </w:rPr>
        <w:t>’s</w:t>
      </w:r>
      <w:r w:rsidR="008D464B" w:rsidRPr="003F63A1">
        <w:rPr>
          <w:rFonts w:cs="Times New Roman"/>
          <w:i w:val="0"/>
          <w:szCs w:val="26"/>
          <w:lang w:val="en-GB"/>
        </w:rPr>
        <w:t xml:space="preserve"> claim</w:t>
      </w:r>
      <w:r w:rsidR="00A33AF0">
        <w:rPr>
          <w:rFonts w:cs="Times New Roman"/>
          <w:i w:val="0"/>
          <w:szCs w:val="26"/>
          <w:lang w:val="en-GB"/>
        </w:rPr>
        <w:t>,</w:t>
      </w:r>
      <w:r w:rsidR="008D464B" w:rsidRPr="003F63A1">
        <w:rPr>
          <w:rFonts w:cs="Times New Roman"/>
          <w:i w:val="0"/>
          <w:szCs w:val="26"/>
          <w:lang w:val="en-GB"/>
        </w:rPr>
        <w:t xml:space="preserve"> should be rejected as inadmissible or rejected for lack of jurisdiction of the arbitration panel for the reasons raised by Ukraine in section 2 of its oral statement. In respect of these, we ask the parties to answer or elaborate further: a) as to the procedural timelines of this </w:t>
      </w:r>
      <w:r w:rsidR="00A33AF0">
        <w:rPr>
          <w:rFonts w:cs="Times New Roman"/>
          <w:i w:val="0"/>
          <w:szCs w:val="26"/>
          <w:lang w:val="en-GB"/>
        </w:rPr>
        <w:t>exception</w:t>
      </w:r>
      <w:r w:rsidR="00A33AF0" w:rsidRPr="003F63A1">
        <w:rPr>
          <w:rFonts w:cs="Times New Roman"/>
          <w:i w:val="0"/>
          <w:szCs w:val="26"/>
          <w:lang w:val="en-GB"/>
        </w:rPr>
        <w:t xml:space="preserve"> </w:t>
      </w:r>
      <w:r w:rsidR="008D464B" w:rsidRPr="003F63A1">
        <w:rPr>
          <w:rFonts w:cs="Times New Roman"/>
          <w:i w:val="0"/>
          <w:szCs w:val="26"/>
          <w:lang w:val="en-GB"/>
        </w:rPr>
        <w:t>and whether the Panel can examine it or should reject it, possibly by a preliminary ruling as untimely or late; b) as to the base of this claim of inadmissibility, its base at validity in the merits.</w:t>
      </w:r>
      <w:r w:rsidR="00436924" w:rsidRPr="003F63A1">
        <w:rPr>
          <w:rFonts w:cs="Times New Roman"/>
          <w:i w:val="0"/>
          <w:szCs w:val="26"/>
          <w:lang w:val="en-GB"/>
        </w:rPr>
        <w:t>”</w:t>
      </w:r>
    </w:p>
    <w:p w14:paraId="67110386" w14:textId="42FCF7FE" w:rsidR="00E55C1B" w:rsidRPr="003F63A1" w:rsidRDefault="008713FA" w:rsidP="007E2594">
      <w:pPr>
        <w:pStyle w:val="a3"/>
        <w:numPr>
          <w:ilvl w:val="0"/>
          <w:numId w:val="19"/>
        </w:numPr>
        <w:spacing w:after="120" w:line="360" w:lineRule="auto"/>
        <w:ind w:left="426" w:hanging="426"/>
        <w:rPr>
          <w:szCs w:val="26"/>
          <w:lang w:val="en-GB"/>
        </w:rPr>
      </w:pPr>
      <w:r w:rsidRPr="003F63A1">
        <w:rPr>
          <w:szCs w:val="26"/>
          <w:lang w:val="en-GB"/>
        </w:rPr>
        <w:t xml:space="preserve">At the outset, Ukraine notes that, </w:t>
      </w:r>
      <w:r w:rsidR="00E55C1B" w:rsidRPr="003F63A1">
        <w:rPr>
          <w:szCs w:val="26"/>
          <w:lang w:val="en-GB"/>
        </w:rPr>
        <w:t>a</w:t>
      </w:r>
      <w:r w:rsidR="007A1EB5" w:rsidRPr="003F63A1">
        <w:rPr>
          <w:szCs w:val="26"/>
          <w:lang w:val="en-GB"/>
        </w:rPr>
        <w:t>s already submitted during the hearings</w:t>
      </w:r>
      <w:r w:rsidR="00F33A5F" w:rsidRPr="003F63A1">
        <w:rPr>
          <w:szCs w:val="26"/>
          <w:lang w:val="en-GB"/>
        </w:rPr>
        <w:t xml:space="preserve">, the European Union’s request “to dismiss summarily </w:t>
      </w:r>
      <w:r w:rsidR="003D2FE0" w:rsidRPr="003F63A1">
        <w:rPr>
          <w:szCs w:val="26"/>
          <w:lang w:val="en-GB"/>
        </w:rPr>
        <w:t>[Ukraine’s jurisdictional</w:t>
      </w:r>
      <w:r w:rsidR="00E55C1B" w:rsidRPr="003F63A1">
        <w:rPr>
          <w:szCs w:val="26"/>
          <w:lang w:val="en-GB"/>
        </w:rPr>
        <w:t>/admissibility</w:t>
      </w:r>
      <w:r w:rsidR="003D2FE0" w:rsidRPr="003F63A1">
        <w:rPr>
          <w:szCs w:val="26"/>
          <w:lang w:val="en-GB"/>
        </w:rPr>
        <w:t xml:space="preserve"> objection] … </w:t>
      </w:r>
      <w:r w:rsidR="00F33A5F" w:rsidRPr="003F63A1">
        <w:rPr>
          <w:szCs w:val="26"/>
          <w:lang w:val="en-GB"/>
        </w:rPr>
        <w:t>and, if possible, to do it still in the course of this meeting”</w:t>
      </w:r>
      <w:r w:rsidR="003D2FE0" w:rsidRPr="003F63A1">
        <w:rPr>
          <w:szCs w:val="26"/>
          <w:lang w:val="en-GB"/>
        </w:rPr>
        <w:t xml:space="preserve"> relying on, inter alia, that this “objection is unfounded but, in the first place, it is manifestly untimely” </w:t>
      </w:r>
      <w:r w:rsidR="00E55C1B" w:rsidRPr="003F63A1">
        <w:rPr>
          <w:szCs w:val="26"/>
          <w:lang w:val="en-GB"/>
        </w:rPr>
        <w:t>was totally unfounded and was rightly rejected by the Arbitration Panel.</w:t>
      </w:r>
    </w:p>
    <w:p w14:paraId="2964E992" w14:textId="7DC2B4FE" w:rsidR="00E55C1B" w:rsidRPr="003F63A1" w:rsidRDefault="00E55C1B" w:rsidP="007E2594">
      <w:pPr>
        <w:pStyle w:val="a3"/>
        <w:numPr>
          <w:ilvl w:val="0"/>
          <w:numId w:val="19"/>
        </w:numPr>
        <w:spacing w:after="120" w:line="360" w:lineRule="auto"/>
        <w:ind w:left="426" w:hanging="426"/>
        <w:rPr>
          <w:szCs w:val="26"/>
          <w:lang w:val="en-GB"/>
        </w:rPr>
      </w:pPr>
      <w:r w:rsidRPr="003F63A1">
        <w:rPr>
          <w:szCs w:val="26"/>
          <w:lang w:val="en-GB"/>
        </w:rPr>
        <w:t xml:space="preserve">Ukraine was indeed surprised that the European Union could urge the </w:t>
      </w:r>
      <w:bookmarkStart w:id="15" w:name="_Hlk52435544"/>
      <w:r w:rsidRPr="003F63A1">
        <w:rPr>
          <w:szCs w:val="26"/>
          <w:lang w:val="en-GB"/>
        </w:rPr>
        <w:t xml:space="preserve">Arbitration </w:t>
      </w:r>
      <w:bookmarkEnd w:id="15"/>
      <w:r w:rsidRPr="003F63A1">
        <w:rPr>
          <w:szCs w:val="26"/>
          <w:lang w:val="en-GB"/>
        </w:rPr>
        <w:t xml:space="preserve">Panel to consider that a matter as important as the Arbitration Panel’s jurisdiction could be addressed “summarily”. There is nothing in the </w:t>
      </w:r>
      <w:r w:rsidR="007C230C" w:rsidRPr="003F63A1">
        <w:rPr>
          <w:szCs w:val="26"/>
          <w:lang w:val="en-GB"/>
        </w:rPr>
        <w:t xml:space="preserve">Association </w:t>
      </w:r>
      <w:r w:rsidRPr="003F63A1">
        <w:rPr>
          <w:szCs w:val="26"/>
          <w:lang w:val="en-GB"/>
        </w:rPr>
        <w:t xml:space="preserve">Agreement, nor in the rules governing this procedure, that suggests that a procedure of “summarily dismissal” can be activated. Therefore, Ukraine notes with full approval the decision of the </w:t>
      </w:r>
      <w:r w:rsidR="006A0696" w:rsidRPr="003F63A1">
        <w:rPr>
          <w:szCs w:val="26"/>
          <w:lang w:val="en-GB"/>
        </w:rPr>
        <w:t xml:space="preserve">Arbitration </w:t>
      </w:r>
      <w:r w:rsidRPr="003F63A1">
        <w:rPr>
          <w:szCs w:val="26"/>
          <w:lang w:val="en-GB"/>
        </w:rPr>
        <w:t xml:space="preserve">Panel to reject the </w:t>
      </w:r>
      <w:r w:rsidR="00AF3C1F" w:rsidRPr="003F63A1">
        <w:rPr>
          <w:szCs w:val="26"/>
          <w:lang w:val="en-GB"/>
        </w:rPr>
        <w:t>European Union</w:t>
      </w:r>
      <w:r w:rsidRPr="003F63A1">
        <w:rPr>
          <w:szCs w:val="26"/>
          <w:lang w:val="en-GB"/>
        </w:rPr>
        <w:t>’s “summarily dismissal” request.</w:t>
      </w:r>
    </w:p>
    <w:p w14:paraId="1F40831F" w14:textId="31A67FCB" w:rsidR="00DB037E" w:rsidRPr="003F63A1" w:rsidRDefault="00DB037E" w:rsidP="007E2594">
      <w:pPr>
        <w:pStyle w:val="a3"/>
        <w:numPr>
          <w:ilvl w:val="0"/>
          <w:numId w:val="19"/>
        </w:numPr>
        <w:spacing w:after="120" w:line="360" w:lineRule="auto"/>
        <w:ind w:left="426" w:hanging="426"/>
        <w:rPr>
          <w:szCs w:val="26"/>
          <w:lang w:val="en-GB"/>
        </w:rPr>
      </w:pPr>
      <w:r w:rsidRPr="003F63A1">
        <w:rPr>
          <w:szCs w:val="26"/>
          <w:lang w:val="en-GB"/>
        </w:rPr>
        <w:t xml:space="preserve">Ukraine will now respond to the two </w:t>
      </w:r>
      <w:r w:rsidR="001361FF" w:rsidRPr="003F63A1">
        <w:rPr>
          <w:szCs w:val="26"/>
          <w:lang w:val="en-GB"/>
        </w:rPr>
        <w:t xml:space="preserve">issues under this </w:t>
      </w:r>
      <w:r w:rsidRPr="003F63A1">
        <w:rPr>
          <w:szCs w:val="26"/>
          <w:lang w:val="en-GB"/>
        </w:rPr>
        <w:t>question, in turn.</w:t>
      </w:r>
    </w:p>
    <w:p w14:paraId="3B4FDE88" w14:textId="76558DF5" w:rsidR="006A0696" w:rsidRPr="003F63A1" w:rsidRDefault="006A0696" w:rsidP="00C26DB5">
      <w:pPr>
        <w:pStyle w:val="3"/>
        <w:rPr>
          <w:rFonts w:cs="Times New Roman"/>
          <w:szCs w:val="26"/>
          <w:lang w:val="en-GB"/>
        </w:rPr>
      </w:pPr>
      <w:bookmarkStart w:id="16" w:name="_Toc52886566"/>
      <w:bookmarkStart w:id="17" w:name="_Toc52896871"/>
      <w:r w:rsidRPr="003F63A1">
        <w:rPr>
          <w:rFonts w:cs="Times New Roman"/>
          <w:szCs w:val="26"/>
          <w:lang w:val="en-GB"/>
        </w:rPr>
        <w:t xml:space="preserve">A – The </w:t>
      </w:r>
      <w:r w:rsidR="00DB037E" w:rsidRPr="003F63A1">
        <w:rPr>
          <w:rFonts w:cs="Times New Roman"/>
          <w:szCs w:val="26"/>
          <w:lang w:val="en-GB"/>
        </w:rPr>
        <w:t>European Union’s</w:t>
      </w:r>
      <w:r w:rsidRPr="003F63A1">
        <w:rPr>
          <w:rFonts w:cs="Times New Roman"/>
          <w:szCs w:val="26"/>
          <w:lang w:val="en-GB"/>
        </w:rPr>
        <w:t xml:space="preserve"> objection regarding </w:t>
      </w:r>
      <w:r w:rsidR="00DB037E" w:rsidRPr="003F63A1">
        <w:rPr>
          <w:rFonts w:cs="Times New Roman"/>
          <w:szCs w:val="26"/>
          <w:lang w:val="en-GB"/>
        </w:rPr>
        <w:t xml:space="preserve">an </w:t>
      </w:r>
      <w:r w:rsidRPr="003F63A1">
        <w:rPr>
          <w:rFonts w:cs="Times New Roman"/>
          <w:szCs w:val="26"/>
          <w:lang w:val="en-GB"/>
        </w:rPr>
        <w:t>alleged “untimely” jurisdictional/inadmissibility objection is unfounded</w:t>
      </w:r>
      <w:bookmarkEnd w:id="16"/>
      <w:bookmarkEnd w:id="17"/>
    </w:p>
    <w:p w14:paraId="78B63911" w14:textId="4D36FAFE" w:rsidR="00C26DB5" w:rsidRPr="003F63A1" w:rsidRDefault="00C26DB5" w:rsidP="007E2594">
      <w:pPr>
        <w:pStyle w:val="a3"/>
        <w:numPr>
          <w:ilvl w:val="0"/>
          <w:numId w:val="19"/>
        </w:numPr>
        <w:spacing w:after="120" w:line="360" w:lineRule="auto"/>
        <w:ind w:left="426" w:hanging="426"/>
        <w:rPr>
          <w:szCs w:val="26"/>
          <w:lang w:val="en-GB"/>
        </w:rPr>
      </w:pPr>
      <w:r w:rsidRPr="003F63A1">
        <w:rPr>
          <w:szCs w:val="26"/>
          <w:lang w:val="en-GB"/>
        </w:rPr>
        <w:t xml:space="preserve">Turning to the first part of the question, namely whether Ukraine raised a jurisdictional/admissibility issue too late in the proceeding, Ukraine </w:t>
      </w:r>
      <w:r w:rsidR="00DB037E" w:rsidRPr="003F63A1">
        <w:rPr>
          <w:szCs w:val="26"/>
          <w:lang w:val="en-GB"/>
        </w:rPr>
        <w:t>submits</w:t>
      </w:r>
      <w:r w:rsidRPr="003F63A1">
        <w:rPr>
          <w:szCs w:val="26"/>
          <w:lang w:val="en-GB"/>
        </w:rPr>
        <w:t xml:space="preserve"> that this is not the case, for the following legal and factual </w:t>
      </w:r>
      <w:r w:rsidR="00DB037E" w:rsidRPr="003F63A1">
        <w:rPr>
          <w:szCs w:val="26"/>
          <w:lang w:val="en-GB"/>
        </w:rPr>
        <w:t>reasons</w:t>
      </w:r>
      <w:r w:rsidRPr="003F63A1">
        <w:rPr>
          <w:szCs w:val="26"/>
          <w:lang w:val="en-GB"/>
        </w:rPr>
        <w:t>.</w:t>
      </w:r>
    </w:p>
    <w:p w14:paraId="5F5421C3" w14:textId="09F65B4D" w:rsidR="00C26DB5" w:rsidRPr="003F63A1" w:rsidRDefault="00C26DB5" w:rsidP="00C26DB5">
      <w:pPr>
        <w:pStyle w:val="4"/>
        <w:rPr>
          <w:rFonts w:cs="Times New Roman"/>
          <w:szCs w:val="26"/>
          <w:lang w:val="en-GB"/>
        </w:rPr>
      </w:pPr>
      <w:bookmarkStart w:id="18" w:name="_Toc52886567"/>
      <w:bookmarkStart w:id="19" w:name="_Toc52896872"/>
      <w:r w:rsidRPr="003F63A1">
        <w:rPr>
          <w:rFonts w:cs="Times New Roman"/>
          <w:szCs w:val="26"/>
          <w:lang w:val="en-GB"/>
        </w:rPr>
        <w:lastRenderedPageBreak/>
        <w:t>The law</w:t>
      </w:r>
      <w:bookmarkEnd w:id="18"/>
      <w:bookmarkEnd w:id="19"/>
    </w:p>
    <w:p w14:paraId="7AAD45B2" w14:textId="645398B0" w:rsidR="00C26DB5" w:rsidRPr="003F63A1" w:rsidRDefault="0065790E" w:rsidP="007E2594">
      <w:pPr>
        <w:pStyle w:val="a3"/>
        <w:numPr>
          <w:ilvl w:val="0"/>
          <w:numId w:val="19"/>
        </w:numPr>
        <w:spacing w:after="120" w:line="360" w:lineRule="auto"/>
        <w:ind w:left="426" w:hanging="426"/>
        <w:rPr>
          <w:szCs w:val="26"/>
          <w:lang w:val="en-GB"/>
        </w:rPr>
      </w:pPr>
      <w:r w:rsidRPr="003F63A1">
        <w:rPr>
          <w:b/>
          <w:bCs/>
          <w:szCs w:val="26"/>
          <w:lang w:val="en-GB"/>
        </w:rPr>
        <w:t>First</w:t>
      </w:r>
      <w:r w:rsidRPr="003F63A1">
        <w:rPr>
          <w:szCs w:val="26"/>
          <w:lang w:val="en-GB"/>
        </w:rPr>
        <w:t xml:space="preserve">, there is no rule in the </w:t>
      </w:r>
      <w:r w:rsidR="001361FF" w:rsidRPr="003F63A1">
        <w:rPr>
          <w:szCs w:val="26"/>
          <w:lang w:val="en-GB"/>
        </w:rPr>
        <w:t>Association</w:t>
      </w:r>
      <w:r w:rsidRPr="003F63A1">
        <w:rPr>
          <w:szCs w:val="26"/>
          <w:lang w:val="en-GB"/>
        </w:rPr>
        <w:t xml:space="preserve"> Agreement, nor in the Working Procedures, that prohibits a Party to raise a jurisdictional/admissibility issue at any time during the procedure. In this respect, paragraph 18 of the Working Procedures is irrelevant. Indeed, it provides that “[a]ny request for a </w:t>
      </w:r>
      <w:r w:rsidRPr="003F63A1">
        <w:rPr>
          <w:szCs w:val="26"/>
          <w:u w:val="single"/>
          <w:lang w:val="en-GB"/>
        </w:rPr>
        <w:t xml:space="preserve">preliminary </w:t>
      </w:r>
      <w:r w:rsidRPr="003F63A1">
        <w:rPr>
          <w:szCs w:val="26"/>
          <w:lang w:val="en-GB"/>
        </w:rPr>
        <w:t xml:space="preserve">ruling (including rulings on jurisdictional issues) shall be submitted at the earliest possible moment, and in any event no later than in a Party’s first written submission. If a Party requests such a </w:t>
      </w:r>
      <w:r w:rsidRPr="003F63A1">
        <w:rPr>
          <w:szCs w:val="26"/>
          <w:u w:val="single"/>
          <w:lang w:val="en-GB"/>
        </w:rPr>
        <w:t>preliminary</w:t>
      </w:r>
      <w:r w:rsidRPr="003F63A1">
        <w:rPr>
          <w:szCs w:val="26"/>
          <w:lang w:val="en-GB"/>
        </w:rPr>
        <w:t xml:space="preserve"> ruling, the other Party shall submit its comments within a time limit specified by the Panel. Exceptions to this procedure may be granted in exceptional circumstances” (emphasis added). </w:t>
      </w:r>
      <w:r w:rsidR="00751B3F">
        <w:rPr>
          <w:szCs w:val="26"/>
          <w:lang w:val="en-GB"/>
        </w:rPr>
        <w:t>However,</w:t>
      </w:r>
      <w:r w:rsidRPr="003F63A1">
        <w:rPr>
          <w:szCs w:val="26"/>
          <w:lang w:val="en-GB"/>
        </w:rPr>
        <w:t xml:space="preserve"> Ukraine does </w:t>
      </w:r>
      <w:r w:rsidRPr="003F63A1">
        <w:rPr>
          <w:i/>
          <w:szCs w:val="26"/>
          <w:lang w:val="en-GB"/>
        </w:rPr>
        <w:t>not</w:t>
      </w:r>
      <w:r w:rsidRPr="003F63A1">
        <w:rPr>
          <w:szCs w:val="26"/>
          <w:lang w:val="en-GB"/>
        </w:rPr>
        <w:t xml:space="preserve"> request for a preliminary ruling. It requests that the Arbitration Panel decides that it has no jurisdiction in the normal course of the proceeding</w:t>
      </w:r>
      <w:r w:rsidR="005A1385">
        <w:rPr>
          <w:szCs w:val="26"/>
          <w:lang w:val="en-GB"/>
        </w:rPr>
        <w:t>, i.e.</w:t>
      </w:r>
      <w:r w:rsidR="00DE1C23" w:rsidRPr="003F63A1">
        <w:rPr>
          <w:szCs w:val="26"/>
          <w:lang w:val="uk-UA"/>
        </w:rPr>
        <w:t xml:space="preserve"> </w:t>
      </w:r>
      <w:r w:rsidR="00DE1C23" w:rsidRPr="003F63A1">
        <w:rPr>
          <w:szCs w:val="26"/>
          <w:lang w:val="en-US"/>
        </w:rPr>
        <w:t xml:space="preserve">in its </w:t>
      </w:r>
      <w:r w:rsidR="005A1385">
        <w:rPr>
          <w:szCs w:val="26"/>
          <w:lang w:val="en-US"/>
        </w:rPr>
        <w:t>report</w:t>
      </w:r>
      <w:r w:rsidRPr="003F63A1">
        <w:rPr>
          <w:szCs w:val="26"/>
          <w:lang w:val="en-GB"/>
        </w:rPr>
        <w:t>, not in a preliminary ruling.</w:t>
      </w:r>
    </w:p>
    <w:p w14:paraId="4B87FD9B" w14:textId="02EFF6CC" w:rsidR="0065790E" w:rsidRPr="003F63A1" w:rsidRDefault="0065790E" w:rsidP="007E2594">
      <w:pPr>
        <w:pStyle w:val="a3"/>
        <w:numPr>
          <w:ilvl w:val="0"/>
          <w:numId w:val="19"/>
        </w:numPr>
        <w:spacing w:after="120" w:line="360" w:lineRule="auto"/>
        <w:ind w:left="426" w:hanging="426"/>
        <w:rPr>
          <w:szCs w:val="26"/>
          <w:lang w:val="en-GB"/>
        </w:rPr>
      </w:pPr>
      <w:r w:rsidRPr="003F63A1">
        <w:rPr>
          <w:szCs w:val="26"/>
          <w:lang w:val="en-GB"/>
        </w:rPr>
        <w:t>It is common ground for international courts and tribunals to rule on jurisdictional/</w:t>
      </w:r>
      <w:r w:rsidRPr="00E1796B">
        <w:rPr>
          <w:szCs w:val="26"/>
          <w:lang w:val="en-GB"/>
        </w:rPr>
        <w:t>admissibility</w:t>
      </w:r>
      <w:r w:rsidRPr="003F63A1">
        <w:rPr>
          <w:szCs w:val="26"/>
          <w:lang w:val="en-GB"/>
        </w:rPr>
        <w:t xml:space="preserve"> issues after hearing the entire case, including the merits, whether because the respondent did not elect in favour of raising a jurisdictional/</w:t>
      </w:r>
      <w:r w:rsidRPr="00E1796B">
        <w:rPr>
          <w:szCs w:val="26"/>
          <w:lang w:val="en-GB"/>
        </w:rPr>
        <w:t>admissibility</w:t>
      </w:r>
      <w:r w:rsidRPr="003F63A1">
        <w:rPr>
          <w:szCs w:val="26"/>
          <w:lang w:val="en-GB"/>
        </w:rPr>
        <w:t xml:space="preserve"> issue at a preliminary stage,</w:t>
      </w:r>
      <w:r w:rsidRPr="003F63A1">
        <w:rPr>
          <w:szCs w:val="26"/>
          <w:vertAlign w:val="superscript"/>
          <w:lang w:val="en-GB"/>
        </w:rPr>
        <w:footnoteReference w:id="2"/>
      </w:r>
      <w:r w:rsidRPr="003F63A1">
        <w:rPr>
          <w:szCs w:val="26"/>
          <w:lang w:val="en-GB"/>
        </w:rPr>
        <w:t xml:space="preserve"> or when the jurisdictional/</w:t>
      </w:r>
      <w:r w:rsidRPr="00E1796B">
        <w:rPr>
          <w:szCs w:val="26"/>
          <w:lang w:val="en-GB"/>
        </w:rPr>
        <w:t>admissibility</w:t>
      </w:r>
      <w:r w:rsidRPr="003F63A1">
        <w:rPr>
          <w:szCs w:val="26"/>
          <w:lang w:val="en-GB"/>
        </w:rPr>
        <w:t xml:space="preserve"> issue does not present an exclusively preliminary character. This last point is </w:t>
      </w:r>
      <w:r w:rsidR="00DB037E" w:rsidRPr="003F63A1">
        <w:rPr>
          <w:szCs w:val="26"/>
          <w:lang w:val="en-GB"/>
        </w:rPr>
        <w:t>probably</w:t>
      </w:r>
      <w:r w:rsidRPr="003F63A1">
        <w:rPr>
          <w:szCs w:val="26"/>
          <w:lang w:val="en-GB"/>
        </w:rPr>
        <w:t xml:space="preserve"> very familiar to the Arbitration Panel and does not need </w:t>
      </w:r>
      <w:r w:rsidR="00EE4D2E" w:rsidRPr="003F63A1">
        <w:rPr>
          <w:szCs w:val="26"/>
          <w:lang w:val="en-GB"/>
        </w:rPr>
        <w:t xml:space="preserve">a </w:t>
      </w:r>
      <w:r w:rsidRPr="003F63A1">
        <w:rPr>
          <w:szCs w:val="26"/>
          <w:lang w:val="en-GB"/>
        </w:rPr>
        <w:t xml:space="preserve">long demonstration, but some recent examples will illustrate the accuracy of this assertion. The International Court of Justice has decided recently to address jurisdictional issues together with the merits, in the </w:t>
      </w:r>
      <w:r w:rsidRPr="003F63A1">
        <w:rPr>
          <w:i/>
          <w:szCs w:val="26"/>
          <w:lang w:val="en-GB"/>
        </w:rPr>
        <w:t>Certain Iranian Assets</w:t>
      </w:r>
      <w:r w:rsidRPr="003F63A1">
        <w:rPr>
          <w:szCs w:val="26"/>
          <w:lang w:val="en-GB"/>
        </w:rPr>
        <w:t xml:space="preserve"> case, between Iran and the </w:t>
      </w:r>
      <w:r w:rsidR="00CD11EA" w:rsidRPr="003F63A1">
        <w:rPr>
          <w:szCs w:val="26"/>
          <w:lang w:val="en-GB"/>
        </w:rPr>
        <w:t>United States of America</w:t>
      </w:r>
      <w:r w:rsidRPr="003F63A1">
        <w:rPr>
          <w:szCs w:val="26"/>
          <w:lang w:val="en-GB"/>
        </w:rPr>
        <w:t>.</w:t>
      </w:r>
      <w:r w:rsidRPr="003F63A1">
        <w:rPr>
          <w:szCs w:val="26"/>
          <w:vertAlign w:val="superscript"/>
          <w:lang w:val="en-GB"/>
        </w:rPr>
        <w:footnoteReference w:id="3"/>
      </w:r>
      <w:r w:rsidRPr="003F63A1">
        <w:rPr>
          <w:szCs w:val="26"/>
          <w:lang w:val="en-GB"/>
        </w:rPr>
        <w:t xml:space="preserve"> Annex VII </w:t>
      </w:r>
      <w:r w:rsidR="00D73CC5" w:rsidRPr="003F63A1">
        <w:rPr>
          <w:szCs w:val="26"/>
          <w:lang w:val="en-GB"/>
        </w:rPr>
        <w:t xml:space="preserve">of the United Nations Convention on the Law of the Sea of 10 December 1982 </w:t>
      </w:r>
      <w:r w:rsidRPr="003F63A1">
        <w:rPr>
          <w:szCs w:val="26"/>
          <w:lang w:val="en-GB"/>
        </w:rPr>
        <w:t>arbitration tribunals are also used to address jurisdictional issues at the merits phase. It has been the case</w:t>
      </w:r>
      <w:r w:rsidR="009D3E3F" w:rsidRPr="003F63A1">
        <w:rPr>
          <w:szCs w:val="26"/>
          <w:lang w:val="en-GB"/>
        </w:rPr>
        <w:t>,</w:t>
      </w:r>
      <w:r w:rsidRPr="003F63A1">
        <w:rPr>
          <w:szCs w:val="26"/>
          <w:lang w:val="en-GB"/>
        </w:rPr>
        <w:t xml:space="preserve"> for example</w:t>
      </w:r>
      <w:r w:rsidR="009D3E3F" w:rsidRPr="003F63A1">
        <w:rPr>
          <w:szCs w:val="26"/>
          <w:lang w:val="en-GB"/>
        </w:rPr>
        <w:t>,</w:t>
      </w:r>
      <w:r w:rsidRPr="003F63A1">
        <w:rPr>
          <w:szCs w:val="26"/>
          <w:lang w:val="en-GB"/>
        </w:rPr>
        <w:t xml:space="preserve"> in the </w:t>
      </w:r>
      <w:r w:rsidRPr="003F63A1">
        <w:rPr>
          <w:i/>
          <w:szCs w:val="26"/>
          <w:lang w:val="en-GB"/>
        </w:rPr>
        <w:t xml:space="preserve">Chagos Marine Protection </w:t>
      </w:r>
      <w:r w:rsidRPr="003F63A1">
        <w:rPr>
          <w:i/>
          <w:szCs w:val="26"/>
          <w:lang w:val="en-GB"/>
        </w:rPr>
        <w:lastRenderedPageBreak/>
        <w:t>Arbitration (Mauritius v. U.K)</w:t>
      </w:r>
      <w:r w:rsidRPr="003F63A1">
        <w:rPr>
          <w:szCs w:val="26"/>
          <w:lang w:val="en-GB"/>
        </w:rPr>
        <w:t xml:space="preserve"> case and in the </w:t>
      </w:r>
      <w:r w:rsidRPr="003F63A1">
        <w:rPr>
          <w:i/>
          <w:szCs w:val="26"/>
          <w:lang w:val="en-GB"/>
        </w:rPr>
        <w:t>South China Sea Arbitration (Philippines v. China)</w:t>
      </w:r>
      <w:r w:rsidRPr="003F63A1">
        <w:rPr>
          <w:szCs w:val="26"/>
          <w:lang w:val="en-GB"/>
        </w:rPr>
        <w:t xml:space="preserve"> case, both before the Permanent Court of Arbitration.</w:t>
      </w:r>
    </w:p>
    <w:p w14:paraId="4961E0F0" w14:textId="75F739CE" w:rsidR="001C792F" w:rsidRPr="003F63A1" w:rsidRDefault="001C792F" w:rsidP="007E2594">
      <w:pPr>
        <w:pStyle w:val="a3"/>
        <w:numPr>
          <w:ilvl w:val="0"/>
          <w:numId w:val="19"/>
        </w:numPr>
        <w:spacing w:after="120" w:line="360" w:lineRule="auto"/>
        <w:ind w:left="426" w:hanging="426"/>
        <w:rPr>
          <w:szCs w:val="26"/>
          <w:lang w:val="en-GB"/>
        </w:rPr>
      </w:pPr>
      <w:r w:rsidRPr="003F63A1">
        <w:rPr>
          <w:b/>
          <w:bCs/>
          <w:szCs w:val="26"/>
          <w:lang w:val="en-GB"/>
        </w:rPr>
        <w:t>Second</w:t>
      </w:r>
      <w:r w:rsidRPr="003F63A1">
        <w:rPr>
          <w:szCs w:val="26"/>
          <w:lang w:val="en-GB"/>
        </w:rPr>
        <w:t xml:space="preserve">, it is </w:t>
      </w:r>
      <w:r w:rsidRPr="003F63A1">
        <w:rPr>
          <w:i/>
          <w:szCs w:val="26"/>
          <w:lang w:val="en-GB"/>
        </w:rPr>
        <w:t>on purpose</w:t>
      </w:r>
      <w:r w:rsidRPr="003F63A1">
        <w:rPr>
          <w:szCs w:val="26"/>
          <w:lang w:val="en-GB"/>
        </w:rPr>
        <w:t xml:space="preserve"> that there is no rule regarding the </w:t>
      </w:r>
      <w:r w:rsidR="00FF5D98" w:rsidRPr="003F63A1">
        <w:rPr>
          <w:szCs w:val="26"/>
          <w:lang w:val="en-GB"/>
        </w:rPr>
        <w:t>deadline from which</w:t>
      </w:r>
      <w:r w:rsidRPr="003F63A1">
        <w:rPr>
          <w:szCs w:val="26"/>
          <w:lang w:val="en-GB"/>
        </w:rPr>
        <w:t xml:space="preserve"> a jurisdictional</w:t>
      </w:r>
      <w:r w:rsidRPr="00E1796B">
        <w:rPr>
          <w:szCs w:val="26"/>
          <w:lang w:val="en-GB"/>
        </w:rPr>
        <w:t>/admissibility</w:t>
      </w:r>
      <w:r w:rsidRPr="003F63A1">
        <w:rPr>
          <w:szCs w:val="26"/>
          <w:lang w:val="en-GB"/>
        </w:rPr>
        <w:t xml:space="preserve"> issue can</w:t>
      </w:r>
      <w:r w:rsidR="00FF5D98" w:rsidRPr="003F63A1">
        <w:rPr>
          <w:szCs w:val="26"/>
          <w:lang w:val="en-GB"/>
        </w:rPr>
        <w:t>not</w:t>
      </w:r>
      <w:r w:rsidRPr="003F63A1">
        <w:rPr>
          <w:szCs w:val="26"/>
          <w:lang w:val="en-GB"/>
        </w:rPr>
        <w:t xml:space="preserve"> be raised </w:t>
      </w:r>
      <w:r w:rsidR="00FF5D98" w:rsidRPr="003F63A1">
        <w:rPr>
          <w:szCs w:val="26"/>
          <w:lang w:val="en-GB"/>
        </w:rPr>
        <w:t xml:space="preserve">any longer </w:t>
      </w:r>
      <w:r w:rsidRPr="003F63A1">
        <w:rPr>
          <w:szCs w:val="26"/>
          <w:lang w:val="en-GB"/>
        </w:rPr>
        <w:t xml:space="preserve">by a Party (except when the respondent requests for a preliminary ruling – which is not the case here). When such rule exists, the </w:t>
      </w:r>
      <w:r w:rsidRPr="003F63A1">
        <w:rPr>
          <w:i/>
          <w:szCs w:val="26"/>
          <w:lang w:val="en-GB"/>
        </w:rPr>
        <w:t>rationale</w:t>
      </w:r>
      <w:r w:rsidRPr="003F63A1">
        <w:rPr>
          <w:szCs w:val="26"/>
          <w:lang w:val="en-GB"/>
        </w:rPr>
        <w:t xml:space="preserve"> is that after this date the Parties are deemed to have renounced to a right to raise </w:t>
      </w:r>
      <w:r w:rsidR="009D3E3F" w:rsidRPr="003F63A1">
        <w:rPr>
          <w:szCs w:val="26"/>
          <w:lang w:val="en-GB"/>
        </w:rPr>
        <w:t xml:space="preserve">an </w:t>
      </w:r>
      <w:r w:rsidRPr="003F63A1">
        <w:rPr>
          <w:szCs w:val="26"/>
          <w:lang w:val="en-GB"/>
        </w:rPr>
        <w:t xml:space="preserve">objection, and </w:t>
      </w:r>
      <w:r w:rsidR="00FF5D98" w:rsidRPr="003F63A1">
        <w:rPr>
          <w:szCs w:val="26"/>
          <w:lang w:val="en-GB"/>
        </w:rPr>
        <w:t xml:space="preserve">are deemed to </w:t>
      </w:r>
      <w:r w:rsidRPr="003F63A1">
        <w:rPr>
          <w:szCs w:val="26"/>
          <w:lang w:val="en-GB"/>
        </w:rPr>
        <w:t>definitely agree to the exercise of jurisdiction. In other words, after a certain deadline, any jurisdictional</w:t>
      </w:r>
      <w:r w:rsidRPr="00E1796B">
        <w:rPr>
          <w:szCs w:val="26"/>
          <w:lang w:val="en-GB"/>
        </w:rPr>
        <w:t>/admissibility</w:t>
      </w:r>
      <w:r w:rsidRPr="003F63A1">
        <w:rPr>
          <w:szCs w:val="26"/>
          <w:lang w:val="en-GB"/>
        </w:rPr>
        <w:t xml:space="preserve"> issue is “cured”</w:t>
      </w:r>
      <w:r w:rsidR="00FF5D98" w:rsidRPr="003F63A1">
        <w:rPr>
          <w:szCs w:val="26"/>
          <w:lang w:val="en-GB"/>
        </w:rPr>
        <w:t xml:space="preserve"> by common consent of the Parties</w:t>
      </w:r>
      <w:r w:rsidRPr="003F63A1">
        <w:rPr>
          <w:szCs w:val="26"/>
          <w:lang w:val="en-GB"/>
        </w:rPr>
        <w:t>.</w:t>
      </w:r>
      <w:r w:rsidRPr="003F63A1">
        <w:rPr>
          <w:szCs w:val="26"/>
          <w:vertAlign w:val="superscript"/>
          <w:lang w:val="en-GB"/>
        </w:rPr>
        <w:footnoteReference w:id="4"/>
      </w:r>
      <w:r w:rsidRPr="003F63A1">
        <w:rPr>
          <w:szCs w:val="26"/>
          <w:lang w:val="en-GB"/>
        </w:rPr>
        <w:t xml:space="preserve"> There is nothing of the kind here because the very concept of the </w:t>
      </w:r>
      <w:r w:rsidR="00605A82" w:rsidRPr="003F63A1">
        <w:rPr>
          <w:szCs w:val="26"/>
          <w:lang w:val="en-GB"/>
        </w:rPr>
        <w:t xml:space="preserve">arbitration </w:t>
      </w:r>
      <w:r w:rsidRPr="003F63A1">
        <w:rPr>
          <w:szCs w:val="26"/>
          <w:lang w:val="en-GB"/>
        </w:rPr>
        <w:t>procedure as set up in the Association Agreement is that an Arbitration Panel can exercise jurisdiction only insofar as this jurisdiction is grounded in the Association Agreement, in particular in Article 304</w:t>
      </w:r>
      <w:r w:rsidR="00605A82" w:rsidRPr="003F63A1">
        <w:rPr>
          <w:szCs w:val="26"/>
          <w:lang w:val="en-GB"/>
        </w:rPr>
        <w:t xml:space="preserve"> thereof</w:t>
      </w:r>
      <w:r w:rsidRPr="003F63A1">
        <w:rPr>
          <w:szCs w:val="26"/>
          <w:lang w:val="en-GB"/>
        </w:rPr>
        <w:t>. The empowerment of an Arbitration Panel to exercise its jurisdiction is not at the disposal of the Parties</w:t>
      </w:r>
      <w:r w:rsidR="00921E52">
        <w:rPr>
          <w:szCs w:val="26"/>
          <w:lang w:val="en-GB"/>
        </w:rPr>
        <w:t> </w:t>
      </w:r>
      <w:r w:rsidRPr="003F63A1">
        <w:rPr>
          <w:szCs w:val="26"/>
          <w:lang w:val="en-GB"/>
        </w:rPr>
        <w:t xml:space="preserve">– as it can be in </w:t>
      </w:r>
      <w:r w:rsidRPr="003F63A1">
        <w:rPr>
          <w:i/>
          <w:iCs/>
          <w:szCs w:val="26"/>
          <w:lang w:val="en-GB"/>
        </w:rPr>
        <w:t>ad hoc</w:t>
      </w:r>
      <w:r w:rsidRPr="003F63A1">
        <w:rPr>
          <w:szCs w:val="26"/>
          <w:lang w:val="en-GB"/>
        </w:rPr>
        <w:t xml:space="preserve"> arbitration, but </w:t>
      </w:r>
      <w:r w:rsidR="0046145C" w:rsidRPr="003F63A1">
        <w:rPr>
          <w:szCs w:val="26"/>
          <w:lang w:val="en-GB"/>
        </w:rPr>
        <w:t xml:space="preserve">is </w:t>
      </w:r>
      <w:r w:rsidRPr="003F63A1">
        <w:rPr>
          <w:szCs w:val="26"/>
          <w:lang w:val="en-GB"/>
        </w:rPr>
        <w:t xml:space="preserve">wholly grounded in the Association Agreement. That means, for example, that the Parties cannot lawfully agree </w:t>
      </w:r>
      <w:r w:rsidR="009D3A7D">
        <w:rPr>
          <w:szCs w:val="26"/>
          <w:lang w:val="en-GB"/>
        </w:rPr>
        <w:t xml:space="preserve">on </w:t>
      </w:r>
      <w:r w:rsidRPr="003F63A1">
        <w:rPr>
          <w:szCs w:val="26"/>
          <w:lang w:val="en-GB"/>
        </w:rPr>
        <w:t>not raising a jurisdictional objection</w:t>
      </w:r>
      <w:r w:rsidR="009D3A7D">
        <w:rPr>
          <w:szCs w:val="26"/>
          <w:lang w:val="en-GB"/>
        </w:rPr>
        <w:t xml:space="preserve"> and</w:t>
      </w:r>
      <w:r w:rsidR="00234306">
        <w:rPr>
          <w:szCs w:val="26"/>
          <w:lang w:val="en-GB"/>
        </w:rPr>
        <w:t>/or</w:t>
      </w:r>
      <w:r w:rsidRPr="003F63A1">
        <w:rPr>
          <w:szCs w:val="26"/>
          <w:lang w:val="en-GB"/>
        </w:rPr>
        <w:t xml:space="preserve"> to have a Chapter 13 dispute resolved by a Chapter 14 </w:t>
      </w:r>
      <w:r w:rsidR="002A3469" w:rsidRPr="003F63A1">
        <w:rPr>
          <w:szCs w:val="26"/>
          <w:lang w:val="en-GB"/>
        </w:rPr>
        <w:t xml:space="preserve">Arbitration </w:t>
      </w:r>
      <w:r w:rsidRPr="003F63A1">
        <w:rPr>
          <w:szCs w:val="26"/>
          <w:lang w:val="en-GB"/>
        </w:rPr>
        <w:t>Panel because it would be inconsistent with Article 300(7)</w:t>
      </w:r>
      <w:r w:rsidR="002A3469" w:rsidRPr="003F63A1">
        <w:rPr>
          <w:szCs w:val="26"/>
          <w:lang w:val="en-GB"/>
        </w:rPr>
        <w:t xml:space="preserve"> of the Association Agreement</w:t>
      </w:r>
      <w:r w:rsidRPr="003F63A1">
        <w:rPr>
          <w:szCs w:val="26"/>
          <w:lang w:val="en-GB"/>
        </w:rPr>
        <w:t>.</w:t>
      </w:r>
    </w:p>
    <w:p w14:paraId="323C1140" w14:textId="181320B3" w:rsidR="002A3469" w:rsidRPr="003F63A1" w:rsidRDefault="002A3469" w:rsidP="007E2594">
      <w:pPr>
        <w:pStyle w:val="a3"/>
        <w:numPr>
          <w:ilvl w:val="0"/>
          <w:numId w:val="19"/>
        </w:numPr>
        <w:spacing w:after="120" w:line="360" w:lineRule="auto"/>
        <w:ind w:left="426" w:hanging="426"/>
        <w:rPr>
          <w:szCs w:val="26"/>
          <w:lang w:val="en-GB"/>
        </w:rPr>
      </w:pPr>
      <w:r w:rsidRPr="003F63A1">
        <w:rPr>
          <w:b/>
          <w:bCs/>
          <w:szCs w:val="26"/>
          <w:lang w:val="en-GB"/>
        </w:rPr>
        <w:t>Third</w:t>
      </w:r>
      <w:r w:rsidRPr="003F63A1">
        <w:rPr>
          <w:szCs w:val="26"/>
          <w:lang w:val="en-GB"/>
        </w:rPr>
        <w:t xml:space="preserve">, even when rules establish a deadline for raising objections – which is not the case here, it is usual for arbitration tribunals to consider these rules as non-binding. For example, </w:t>
      </w:r>
      <w:r w:rsidRPr="003F63A1">
        <w:rPr>
          <w:szCs w:val="26"/>
          <w:lang w:val="en-US"/>
        </w:rPr>
        <w:t xml:space="preserve">in a case before the ICSID, </w:t>
      </w:r>
      <w:r w:rsidRPr="003F63A1">
        <w:rPr>
          <w:i/>
          <w:iCs/>
          <w:szCs w:val="26"/>
          <w:lang w:val="en-US"/>
        </w:rPr>
        <w:t xml:space="preserve">AIG </w:t>
      </w:r>
      <w:r w:rsidRPr="003F63A1">
        <w:rPr>
          <w:szCs w:val="26"/>
          <w:lang w:val="en-US"/>
        </w:rPr>
        <w:t xml:space="preserve">v. </w:t>
      </w:r>
      <w:r w:rsidRPr="003F63A1">
        <w:rPr>
          <w:i/>
          <w:iCs/>
          <w:szCs w:val="26"/>
          <w:lang w:val="en-US"/>
        </w:rPr>
        <w:t xml:space="preserve">Kazakhstan, </w:t>
      </w:r>
      <w:r w:rsidRPr="003F63A1">
        <w:rPr>
          <w:szCs w:val="26"/>
          <w:lang w:val="en-US"/>
        </w:rPr>
        <w:t>the Respondent filed objections to jurisdiction after the time limit originally fixed for the filing of its counter-memorial.</w:t>
      </w:r>
      <w:r w:rsidR="00ED285C" w:rsidRPr="003F63A1">
        <w:rPr>
          <w:szCs w:val="26"/>
          <w:vertAlign w:val="superscript"/>
          <w:lang w:val="en-GB"/>
        </w:rPr>
        <w:footnoteReference w:id="5"/>
      </w:r>
      <w:r w:rsidRPr="003F63A1">
        <w:rPr>
          <w:szCs w:val="26"/>
          <w:lang w:val="en-US"/>
        </w:rPr>
        <w:t xml:space="preserve"> The Claimant argued that these belated objections were not filed as early as possible and should not be entertained. The Tribunal found that the requirements of Arbitration Rule 41(1)</w:t>
      </w:r>
      <w:r w:rsidR="00341064" w:rsidRPr="003F63A1">
        <w:rPr>
          <w:rStyle w:val="af6"/>
          <w:szCs w:val="26"/>
          <w:lang w:val="en-US"/>
        </w:rPr>
        <w:footnoteReference w:id="6"/>
      </w:r>
      <w:r w:rsidRPr="003F63A1">
        <w:rPr>
          <w:szCs w:val="26"/>
          <w:lang w:val="en-US"/>
        </w:rPr>
        <w:t xml:space="preserve"> regarding the </w:t>
      </w:r>
      <w:r w:rsidRPr="003F63A1">
        <w:rPr>
          <w:szCs w:val="26"/>
          <w:lang w:val="en-US"/>
        </w:rPr>
        <w:lastRenderedPageBreak/>
        <w:t>deadline for submitting jurisdictional objections were not coercive and admitted the belated objections.</w:t>
      </w:r>
    </w:p>
    <w:p w14:paraId="7CDF7DFC" w14:textId="4ADB98CC" w:rsidR="002A3469" w:rsidRPr="003F63A1" w:rsidRDefault="002A3469" w:rsidP="007E2594">
      <w:pPr>
        <w:pStyle w:val="a3"/>
        <w:numPr>
          <w:ilvl w:val="0"/>
          <w:numId w:val="19"/>
        </w:numPr>
        <w:spacing w:after="120" w:line="360" w:lineRule="auto"/>
        <w:ind w:left="426" w:hanging="426"/>
        <w:rPr>
          <w:szCs w:val="26"/>
          <w:lang w:val="en-GB"/>
        </w:rPr>
      </w:pPr>
      <w:r w:rsidRPr="003F63A1">
        <w:rPr>
          <w:b/>
          <w:bCs/>
          <w:szCs w:val="26"/>
          <w:lang w:val="en-GB"/>
        </w:rPr>
        <w:t>Fourth</w:t>
      </w:r>
      <w:r w:rsidRPr="003F63A1">
        <w:rPr>
          <w:szCs w:val="26"/>
          <w:lang w:val="en-GB"/>
        </w:rPr>
        <w:t xml:space="preserve">, the case law of the WTO is </w:t>
      </w:r>
      <w:r w:rsidR="00341064" w:rsidRPr="003F63A1">
        <w:rPr>
          <w:szCs w:val="26"/>
          <w:lang w:val="en-GB"/>
        </w:rPr>
        <w:t xml:space="preserve">supporting the principle </w:t>
      </w:r>
      <w:r w:rsidRPr="003F63A1">
        <w:rPr>
          <w:szCs w:val="26"/>
          <w:lang w:val="en-GB"/>
        </w:rPr>
        <w:t>of an examination by the Arbitration Panel of the jurisdictional objection raised by Ukraine in the current case.</w:t>
      </w:r>
    </w:p>
    <w:p w14:paraId="17151B5E" w14:textId="55804403" w:rsidR="00BB525B" w:rsidRPr="003F63A1" w:rsidRDefault="00BB525B" w:rsidP="00B5119F">
      <w:pPr>
        <w:pStyle w:val="a3"/>
        <w:numPr>
          <w:ilvl w:val="0"/>
          <w:numId w:val="19"/>
        </w:numPr>
        <w:spacing w:after="120" w:line="360" w:lineRule="auto"/>
        <w:rPr>
          <w:szCs w:val="26"/>
          <w:lang w:val="en-GB"/>
        </w:rPr>
      </w:pPr>
      <w:r w:rsidRPr="003F63A1">
        <w:rPr>
          <w:szCs w:val="26"/>
          <w:lang w:val="en-GB"/>
        </w:rPr>
        <w:t xml:space="preserve">Indeed, it should be recalled that in </w:t>
      </w:r>
      <w:r w:rsidRPr="003F63A1">
        <w:rPr>
          <w:i/>
          <w:iCs/>
          <w:szCs w:val="26"/>
          <w:lang w:val="en-GB"/>
        </w:rPr>
        <w:t>United States — Anti-Dumping Act of 1916</w:t>
      </w:r>
      <w:r w:rsidRPr="003F63A1">
        <w:rPr>
          <w:szCs w:val="26"/>
          <w:lang w:val="en-GB"/>
        </w:rPr>
        <w:t>, the United States challenged the Panel’s finding that it had jurisdiction to consider the claims of the European Communities and Japan. According to the European Communities, “...the United States did not raise this objection to the jurisdiction of the Panel until the stage of interim review”.</w:t>
      </w:r>
      <w:r w:rsidRPr="003F63A1">
        <w:rPr>
          <w:szCs w:val="26"/>
          <w:vertAlign w:val="superscript"/>
          <w:lang w:val="en-GB"/>
        </w:rPr>
        <w:footnoteReference w:id="7"/>
      </w:r>
      <w:r w:rsidR="00341064" w:rsidRPr="003F63A1">
        <w:rPr>
          <w:szCs w:val="26"/>
          <w:lang w:val="en-GB"/>
        </w:rPr>
        <w:t xml:space="preserve"> </w:t>
      </w:r>
      <w:r w:rsidRPr="003F63A1">
        <w:rPr>
          <w:szCs w:val="26"/>
          <w:lang w:val="en-GB"/>
        </w:rPr>
        <w:t>On appeal, the Appellate Body held:</w:t>
      </w:r>
    </w:p>
    <w:p w14:paraId="242FCC2C" w14:textId="1D7331BF" w:rsidR="00BB525B" w:rsidRPr="003118C2" w:rsidRDefault="00BB525B" w:rsidP="00007265">
      <w:pPr>
        <w:spacing w:after="120" w:line="360" w:lineRule="auto"/>
        <w:ind w:left="708" w:right="567"/>
        <w:jc w:val="both"/>
        <w:rPr>
          <w:sz w:val="26"/>
          <w:szCs w:val="26"/>
          <w:lang w:val="en-GB"/>
        </w:rPr>
      </w:pPr>
      <w:r w:rsidRPr="003F63A1">
        <w:rPr>
          <w:sz w:val="26"/>
          <w:szCs w:val="26"/>
          <w:lang w:val="en-GB"/>
        </w:rPr>
        <w:t>“We agree with the Panel that the interim review was not an appropriate stage in the Panel’s proceedings to raise objections to the Panel</w:t>
      </w:r>
      <w:r w:rsidR="005E0224" w:rsidRPr="003F63A1">
        <w:rPr>
          <w:sz w:val="26"/>
          <w:szCs w:val="26"/>
          <w:lang w:val="en-GB"/>
        </w:rPr>
        <w:t>’</w:t>
      </w:r>
      <w:r w:rsidRPr="003F63A1">
        <w:rPr>
          <w:sz w:val="26"/>
          <w:szCs w:val="26"/>
          <w:lang w:val="en-GB"/>
        </w:rPr>
        <w:t>s jurisdiction for the first time. An objection to jurisdiction should be raised as early as possible and panels must ensure that the requirements of due process are met. However, we also agree with the Panel</w:t>
      </w:r>
      <w:r w:rsidR="00F55E34" w:rsidRPr="003F63A1">
        <w:rPr>
          <w:sz w:val="26"/>
          <w:szCs w:val="26"/>
          <w:lang w:val="en-GB"/>
        </w:rPr>
        <w:t>’</w:t>
      </w:r>
      <w:r w:rsidRPr="003F63A1">
        <w:rPr>
          <w:sz w:val="26"/>
          <w:szCs w:val="26"/>
          <w:lang w:val="en-GB"/>
        </w:rPr>
        <w:t>s consideration that “some issues of jurisdiction may be of such a nature that they have to be addressed by the Panel at any time.” We do not share the European Communities’ view that objections to the jurisdiction of a panel are appropriately regarded as simply “procedural objections”. The vesting of jurisdiction in a panel is a fundamental prerequisite for lawful panel proceedings. We, therefore, see no reason to accept the European Communities’ argument that we must reject the United States’ appeal because the United States did not raise its jurisdictional objection before the Panel in a timely manner.”</w:t>
      </w:r>
      <w:r w:rsidR="008269D8" w:rsidRPr="003F63A1">
        <w:rPr>
          <w:rStyle w:val="af6"/>
          <w:szCs w:val="26"/>
          <w:lang w:val="en-GB"/>
        </w:rPr>
        <w:footnoteReference w:id="8"/>
      </w:r>
    </w:p>
    <w:p w14:paraId="027261FD" w14:textId="33638551" w:rsidR="0070713D" w:rsidRPr="003F63A1" w:rsidRDefault="0070713D" w:rsidP="007E2594">
      <w:pPr>
        <w:pStyle w:val="a3"/>
        <w:numPr>
          <w:ilvl w:val="0"/>
          <w:numId w:val="19"/>
        </w:numPr>
        <w:spacing w:after="120" w:line="360" w:lineRule="auto"/>
        <w:ind w:left="426" w:hanging="426"/>
        <w:rPr>
          <w:szCs w:val="26"/>
          <w:lang w:val="en-GB"/>
        </w:rPr>
      </w:pPr>
      <w:r w:rsidRPr="003F63A1">
        <w:rPr>
          <w:szCs w:val="26"/>
          <w:lang w:val="en-GB"/>
        </w:rPr>
        <w:t xml:space="preserve">The European Union itself is plainly aware that jurisdictional issues are of such importance that objections can be raised at any time, as the European Union did in </w:t>
      </w:r>
      <w:r w:rsidRPr="003F63A1">
        <w:rPr>
          <w:i/>
          <w:szCs w:val="26"/>
          <w:lang w:val="en-GB"/>
        </w:rPr>
        <w:t>EC – Fasteners (China)</w:t>
      </w:r>
      <w:r w:rsidRPr="003F63A1">
        <w:rPr>
          <w:szCs w:val="26"/>
          <w:lang w:val="en-GB"/>
        </w:rPr>
        <w:t>. In this case, the Appellate Body held that:</w:t>
      </w:r>
    </w:p>
    <w:p w14:paraId="295A615A" w14:textId="06ED1438" w:rsidR="0070713D" w:rsidRPr="003F63A1" w:rsidRDefault="0070713D" w:rsidP="00007265">
      <w:pPr>
        <w:spacing w:after="120" w:line="360" w:lineRule="auto"/>
        <w:ind w:left="708" w:right="567"/>
        <w:jc w:val="both"/>
        <w:rPr>
          <w:sz w:val="26"/>
          <w:szCs w:val="26"/>
          <w:lang w:val="en-GB"/>
        </w:rPr>
      </w:pPr>
      <w:r w:rsidRPr="003F63A1">
        <w:rPr>
          <w:sz w:val="26"/>
          <w:szCs w:val="26"/>
          <w:lang w:val="en-US"/>
        </w:rPr>
        <w:lastRenderedPageBreak/>
        <w:t>“</w:t>
      </w:r>
      <w:r w:rsidR="00007265" w:rsidRPr="003F63A1">
        <w:rPr>
          <w:sz w:val="26"/>
          <w:szCs w:val="26"/>
          <w:lang w:val="en-US"/>
        </w:rPr>
        <w:t xml:space="preserve">[…] </w:t>
      </w:r>
      <w:r w:rsidRPr="003F63A1">
        <w:rPr>
          <w:sz w:val="26"/>
          <w:szCs w:val="26"/>
          <w:lang w:val="en-GB"/>
        </w:rPr>
        <w:t xml:space="preserve">parties are required to raise procedural objections ‘promptly’, </w:t>
      </w:r>
      <w:r w:rsidRPr="003F63A1">
        <w:rPr>
          <w:sz w:val="26"/>
          <w:szCs w:val="26"/>
          <w:u w:val="single"/>
          <w:lang w:val="en-GB"/>
        </w:rPr>
        <w:t xml:space="preserve">but also that matters going to the jurisdiction of a panel are </w:t>
      </w:r>
      <w:r w:rsidR="00277715" w:rsidRPr="003F63A1">
        <w:rPr>
          <w:sz w:val="26"/>
          <w:szCs w:val="26"/>
          <w:lang w:val="en-GB"/>
        </w:rPr>
        <w:t>‘</w:t>
      </w:r>
      <w:r w:rsidRPr="003F63A1">
        <w:rPr>
          <w:sz w:val="26"/>
          <w:szCs w:val="26"/>
          <w:u w:val="single"/>
          <w:lang w:val="en-GB"/>
        </w:rPr>
        <w:t>fundamental</w:t>
      </w:r>
      <w:r w:rsidR="00277715" w:rsidRPr="003F63A1">
        <w:rPr>
          <w:sz w:val="26"/>
          <w:szCs w:val="26"/>
          <w:lang w:val="en-GB"/>
        </w:rPr>
        <w:t>’</w:t>
      </w:r>
      <w:r w:rsidRPr="003F63A1">
        <w:rPr>
          <w:sz w:val="26"/>
          <w:szCs w:val="26"/>
          <w:u w:val="single"/>
          <w:lang w:val="en-GB"/>
        </w:rPr>
        <w:t xml:space="preserve"> and can therefore be raised at any stage in a proceeding</w:t>
      </w:r>
      <w:r w:rsidRPr="003F63A1">
        <w:rPr>
          <w:sz w:val="26"/>
          <w:szCs w:val="26"/>
          <w:lang w:val="en-GB"/>
        </w:rPr>
        <w:t>, including on appeal. If a claim is not within a panel</w:t>
      </w:r>
      <w:r w:rsidR="00277715" w:rsidRPr="003F63A1">
        <w:rPr>
          <w:sz w:val="26"/>
          <w:szCs w:val="26"/>
          <w:lang w:val="en-GB"/>
        </w:rPr>
        <w:t>’</w:t>
      </w:r>
      <w:r w:rsidRPr="003F63A1">
        <w:rPr>
          <w:sz w:val="26"/>
          <w:szCs w:val="26"/>
          <w:lang w:val="en-GB"/>
        </w:rPr>
        <w:t xml:space="preserve">s terms of reference, the panel does not have the jurisdiction to hear the claim. Moreover, </w:t>
      </w:r>
      <w:r w:rsidRPr="003F63A1">
        <w:rPr>
          <w:sz w:val="26"/>
          <w:szCs w:val="26"/>
          <w:u w:val="single"/>
          <w:lang w:val="en-GB"/>
        </w:rPr>
        <w:t>a party’s failure to raise a timely jurisdictional objection cannot operate to cure such a jurisdictional defect</w:t>
      </w:r>
      <w:r w:rsidRPr="003F63A1">
        <w:rPr>
          <w:sz w:val="26"/>
          <w:szCs w:val="26"/>
          <w:lang w:val="en-GB"/>
        </w:rPr>
        <w:t>. We therefore find that the European Union</w:t>
      </w:r>
      <w:r w:rsidR="00277715" w:rsidRPr="003F63A1">
        <w:rPr>
          <w:sz w:val="26"/>
          <w:szCs w:val="26"/>
          <w:lang w:val="en-GB"/>
        </w:rPr>
        <w:t>’</w:t>
      </w:r>
      <w:r w:rsidRPr="003F63A1">
        <w:rPr>
          <w:sz w:val="26"/>
          <w:szCs w:val="26"/>
          <w:lang w:val="en-GB"/>
        </w:rPr>
        <w:t>s failure to raise its terms of reference claim promptly before the Panel does not bar it from bringing this challenge on appeal” (emphasis added)</w:t>
      </w:r>
      <w:r w:rsidRPr="003F63A1">
        <w:rPr>
          <w:sz w:val="26"/>
          <w:szCs w:val="26"/>
          <w:lang w:val="en-US"/>
        </w:rPr>
        <w:t>.</w:t>
      </w:r>
      <w:r w:rsidR="008269D8" w:rsidRPr="003F63A1">
        <w:rPr>
          <w:szCs w:val="26"/>
          <w:vertAlign w:val="superscript"/>
        </w:rPr>
        <w:footnoteReference w:id="9"/>
      </w:r>
    </w:p>
    <w:p w14:paraId="3DD4E1B0" w14:textId="230AA445" w:rsidR="0070713D" w:rsidRPr="003F63A1" w:rsidRDefault="00443699" w:rsidP="007E2594">
      <w:pPr>
        <w:pStyle w:val="a3"/>
        <w:numPr>
          <w:ilvl w:val="0"/>
          <w:numId w:val="19"/>
        </w:numPr>
        <w:spacing w:after="120" w:line="360" w:lineRule="auto"/>
        <w:ind w:left="426" w:hanging="426"/>
        <w:rPr>
          <w:szCs w:val="26"/>
          <w:lang w:val="en-GB"/>
        </w:rPr>
      </w:pPr>
      <w:r w:rsidRPr="003F63A1">
        <w:rPr>
          <w:b/>
          <w:bCs/>
          <w:szCs w:val="26"/>
          <w:lang w:val="en-GB"/>
        </w:rPr>
        <w:t>Fifth</w:t>
      </w:r>
      <w:r w:rsidRPr="003F63A1">
        <w:rPr>
          <w:szCs w:val="26"/>
          <w:lang w:val="en-GB"/>
        </w:rPr>
        <w:t xml:space="preserve">, </w:t>
      </w:r>
      <w:r w:rsidR="002A6C4C" w:rsidRPr="003F63A1">
        <w:rPr>
          <w:szCs w:val="26"/>
          <w:lang w:val="en-GB"/>
        </w:rPr>
        <w:t xml:space="preserve">in any event, </w:t>
      </w:r>
      <w:r w:rsidR="00F30ABD" w:rsidRPr="003F63A1">
        <w:rPr>
          <w:szCs w:val="26"/>
          <w:lang w:val="en-GB"/>
        </w:rPr>
        <w:t xml:space="preserve">Arbitration Panels </w:t>
      </w:r>
      <w:r w:rsidRPr="003F63A1">
        <w:rPr>
          <w:szCs w:val="26"/>
          <w:lang w:val="en-GB"/>
        </w:rPr>
        <w:t xml:space="preserve">always take great care to ascertain whether or not </w:t>
      </w:r>
      <w:r w:rsidR="00F30ABD" w:rsidRPr="003F63A1">
        <w:rPr>
          <w:szCs w:val="26"/>
          <w:lang w:val="en-GB"/>
        </w:rPr>
        <w:t xml:space="preserve">their jurisdiction </w:t>
      </w:r>
      <w:r w:rsidRPr="003F63A1">
        <w:rPr>
          <w:szCs w:val="26"/>
          <w:lang w:val="en-GB"/>
        </w:rPr>
        <w:t xml:space="preserve">is </w:t>
      </w:r>
      <w:r w:rsidR="00277715" w:rsidRPr="003F63A1">
        <w:rPr>
          <w:szCs w:val="26"/>
          <w:lang w:val="en-GB"/>
        </w:rPr>
        <w:t>well-</w:t>
      </w:r>
      <w:r w:rsidRPr="003F63A1">
        <w:rPr>
          <w:szCs w:val="26"/>
          <w:lang w:val="en-GB"/>
        </w:rPr>
        <w:t>founded.</w:t>
      </w:r>
    </w:p>
    <w:p w14:paraId="1C773ED5" w14:textId="7D471EB6" w:rsidR="00443699" w:rsidRPr="003F63A1" w:rsidRDefault="00443699" w:rsidP="007E2594">
      <w:pPr>
        <w:pStyle w:val="a3"/>
        <w:numPr>
          <w:ilvl w:val="0"/>
          <w:numId w:val="19"/>
        </w:numPr>
        <w:spacing w:after="120" w:line="360" w:lineRule="auto"/>
        <w:ind w:left="426" w:hanging="426"/>
        <w:rPr>
          <w:szCs w:val="26"/>
          <w:lang w:val="en-GB"/>
        </w:rPr>
      </w:pPr>
      <w:r w:rsidRPr="003F63A1">
        <w:rPr>
          <w:szCs w:val="26"/>
          <w:lang w:val="en-GB"/>
        </w:rPr>
        <w:t xml:space="preserve">This is of course the case with respect to WTO panels, which have a duty to address </w:t>
      </w:r>
      <w:r w:rsidR="00AB3E81" w:rsidRPr="003F63A1">
        <w:rPr>
          <w:szCs w:val="26"/>
          <w:lang w:val="en-GB"/>
        </w:rPr>
        <w:t xml:space="preserve">the </w:t>
      </w:r>
      <w:r w:rsidRPr="003F63A1">
        <w:rPr>
          <w:szCs w:val="26"/>
          <w:lang w:val="en-GB"/>
        </w:rPr>
        <w:t>jurisdictional issue</w:t>
      </w:r>
      <w:r w:rsidR="00F30ABD" w:rsidRPr="003F63A1">
        <w:rPr>
          <w:szCs w:val="26"/>
          <w:lang w:val="en-GB"/>
        </w:rPr>
        <w:t xml:space="preserve"> by their own authority</w:t>
      </w:r>
      <w:r w:rsidRPr="003F63A1">
        <w:rPr>
          <w:szCs w:val="26"/>
          <w:lang w:val="en-GB"/>
        </w:rPr>
        <w:t xml:space="preserve">. </w:t>
      </w:r>
      <w:r w:rsidRPr="003F63A1">
        <w:rPr>
          <w:szCs w:val="26"/>
          <w:lang w:val="en-US"/>
        </w:rPr>
        <w:t xml:space="preserve">In </w:t>
      </w:r>
      <w:r w:rsidRPr="003F63A1">
        <w:rPr>
          <w:i/>
          <w:iCs/>
          <w:szCs w:val="26"/>
          <w:lang w:val="en-US"/>
        </w:rPr>
        <w:t>Mexico – Corn Syrup (Article 21.5 – US)</w:t>
      </w:r>
      <w:r w:rsidRPr="003F63A1">
        <w:rPr>
          <w:szCs w:val="26"/>
          <w:lang w:val="en-US"/>
        </w:rPr>
        <w:t>, the Appellate Body described two instances where a panel is obliged to address issues that affect its own jurisdiction:</w:t>
      </w:r>
    </w:p>
    <w:p w14:paraId="03A8489D" w14:textId="5B76583C" w:rsidR="00443699" w:rsidRPr="003F63A1" w:rsidRDefault="00443699" w:rsidP="00B573C7">
      <w:pPr>
        <w:spacing w:after="120" w:line="360" w:lineRule="auto"/>
        <w:ind w:left="708" w:right="567"/>
        <w:jc w:val="both"/>
        <w:rPr>
          <w:sz w:val="26"/>
          <w:szCs w:val="26"/>
          <w:lang w:val="en-GB"/>
        </w:rPr>
      </w:pPr>
      <w:r w:rsidRPr="003F63A1">
        <w:rPr>
          <w:sz w:val="26"/>
          <w:szCs w:val="26"/>
          <w:lang w:val="en-GB"/>
        </w:rPr>
        <w:t xml:space="preserve">“We believe that a panel comes under a duty to address issues in at least two instances. First, as a matter of due process, and the proper exercise of the judicial function, panels are required to address issues that are put before them by the parties to a dispute. Second, panels have to address and dispose of certain issues of a fundamental nature, even if the parties to the dispute remain silent on those issues. In this regard, we have previously observed that </w:t>
      </w:r>
      <w:r w:rsidR="00583630" w:rsidRPr="003F63A1">
        <w:rPr>
          <w:sz w:val="26"/>
          <w:szCs w:val="26"/>
          <w:lang w:val="en-GB"/>
        </w:rPr>
        <w:t>‘</w:t>
      </w:r>
      <w:r w:rsidRPr="003F63A1">
        <w:rPr>
          <w:sz w:val="26"/>
          <w:szCs w:val="26"/>
          <w:lang w:val="en-GB"/>
        </w:rPr>
        <w:t>[t]he vesting of jurisdiction in a panel is a fundamental prerequisite for lawful panel proceedings.</w:t>
      </w:r>
      <w:r w:rsidR="00583630" w:rsidRPr="003F63A1">
        <w:rPr>
          <w:sz w:val="26"/>
          <w:szCs w:val="26"/>
          <w:lang w:val="en-GB"/>
        </w:rPr>
        <w:t>’</w:t>
      </w:r>
      <w:r w:rsidRPr="003F63A1">
        <w:rPr>
          <w:sz w:val="26"/>
          <w:szCs w:val="26"/>
          <w:lang w:val="en-GB"/>
        </w:rPr>
        <w:t xml:space="preserve"> For this reason, panels cannot simply ignore issues which go to the root of their jurisdiction – that is, to their authority to deal with and dispose of matters. Rather, panels must deal with such issues – if necessary, on their own motion – in order to satisfy themselves that they have authority to proceed.</w:t>
      </w:r>
      <w:r w:rsidR="00AE3AE3">
        <w:rPr>
          <w:rStyle w:val="af6"/>
          <w:sz w:val="26"/>
          <w:szCs w:val="26"/>
          <w:lang w:val="en-GB"/>
        </w:rPr>
        <w:footnoteReference w:id="10"/>
      </w:r>
      <w:r w:rsidR="00355C83" w:rsidRPr="00355C83">
        <w:rPr>
          <w:szCs w:val="26"/>
          <w:vertAlign w:val="superscript"/>
          <w:lang w:val="en-GB"/>
        </w:rPr>
        <w:t xml:space="preserve"> </w:t>
      </w:r>
    </w:p>
    <w:p w14:paraId="31053D90" w14:textId="0B323C97" w:rsidR="00443699" w:rsidRPr="003F63A1" w:rsidRDefault="00443699" w:rsidP="00FC59BC">
      <w:pPr>
        <w:spacing w:after="120" w:line="360" w:lineRule="auto"/>
        <w:ind w:left="708" w:right="567"/>
        <w:jc w:val="both"/>
        <w:rPr>
          <w:sz w:val="26"/>
          <w:szCs w:val="26"/>
          <w:lang w:val="en-GB"/>
        </w:rPr>
      </w:pPr>
      <w:r w:rsidRPr="003F63A1">
        <w:rPr>
          <w:sz w:val="26"/>
          <w:szCs w:val="26"/>
          <w:lang w:val="en-GB"/>
        </w:rPr>
        <w:lastRenderedPageBreak/>
        <w:t>[…]</w:t>
      </w:r>
    </w:p>
    <w:p w14:paraId="214B1EC3" w14:textId="3006BFF3" w:rsidR="00443699" w:rsidRPr="003F63A1" w:rsidRDefault="00443699" w:rsidP="00FC59BC">
      <w:pPr>
        <w:spacing w:after="120" w:line="360" w:lineRule="auto"/>
        <w:ind w:left="708" w:right="567"/>
        <w:jc w:val="both"/>
        <w:rPr>
          <w:sz w:val="26"/>
          <w:szCs w:val="26"/>
          <w:lang w:val="en-GB"/>
        </w:rPr>
      </w:pPr>
      <w:r w:rsidRPr="003F63A1">
        <w:rPr>
          <w:sz w:val="26"/>
          <w:szCs w:val="26"/>
          <w:lang w:val="en-GB"/>
        </w:rPr>
        <w:t xml:space="preserve">[O]ur task is simply to determine whether the </w:t>
      </w:r>
      <w:r w:rsidR="00583630" w:rsidRPr="003F63A1">
        <w:rPr>
          <w:sz w:val="26"/>
          <w:szCs w:val="26"/>
          <w:lang w:val="en-GB"/>
        </w:rPr>
        <w:t>‘</w:t>
      </w:r>
      <w:r w:rsidRPr="003F63A1">
        <w:rPr>
          <w:sz w:val="26"/>
          <w:szCs w:val="26"/>
          <w:lang w:val="en-GB"/>
        </w:rPr>
        <w:t>objections</w:t>
      </w:r>
      <w:r w:rsidR="00583630" w:rsidRPr="003F63A1">
        <w:rPr>
          <w:sz w:val="26"/>
          <w:szCs w:val="26"/>
          <w:lang w:val="en-GB"/>
        </w:rPr>
        <w:t>’</w:t>
      </w:r>
      <w:r w:rsidRPr="003F63A1">
        <w:rPr>
          <w:sz w:val="26"/>
          <w:szCs w:val="26"/>
          <w:lang w:val="en-GB"/>
        </w:rPr>
        <w:t xml:space="preserve"> that Mexico now raises before us are of such a nature that they could have deprived the Panel of its authority to deal with and dispose of the matter. If so, then the Panel was bound to address them on its own motion”.</w:t>
      </w:r>
      <w:r w:rsidR="008269D8" w:rsidRPr="003F63A1">
        <w:rPr>
          <w:szCs w:val="26"/>
          <w:vertAlign w:val="superscript"/>
          <w:lang w:val="en-GB"/>
        </w:rPr>
        <w:footnoteReference w:id="11"/>
      </w:r>
    </w:p>
    <w:p w14:paraId="37E68D11" w14:textId="1A2294E8" w:rsidR="00583630" w:rsidRPr="003F63A1" w:rsidRDefault="00583630" w:rsidP="007E2594">
      <w:pPr>
        <w:pStyle w:val="a3"/>
        <w:numPr>
          <w:ilvl w:val="0"/>
          <w:numId w:val="19"/>
        </w:numPr>
        <w:spacing w:after="120" w:line="360" w:lineRule="auto"/>
        <w:ind w:left="426" w:hanging="426"/>
        <w:rPr>
          <w:szCs w:val="26"/>
          <w:lang w:val="en-GB"/>
        </w:rPr>
      </w:pPr>
      <w:r w:rsidRPr="003F63A1">
        <w:rPr>
          <w:szCs w:val="26"/>
          <w:lang w:val="en-GB"/>
        </w:rPr>
        <w:t xml:space="preserve">In </w:t>
      </w:r>
      <w:r w:rsidRPr="003F63A1">
        <w:rPr>
          <w:i/>
          <w:szCs w:val="26"/>
          <w:lang w:val="en-GB"/>
        </w:rPr>
        <w:t>EC and certain member States – Large Civil Aircraft</w:t>
      </w:r>
      <w:r w:rsidRPr="003F63A1">
        <w:rPr>
          <w:szCs w:val="26"/>
          <w:lang w:val="en-GB"/>
        </w:rPr>
        <w:t>, the Appellate Body held:</w:t>
      </w:r>
    </w:p>
    <w:p w14:paraId="6C89AE0B" w14:textId="76D38E5E" w:rsidR="00583630" w:rsidRPr="003F63A1" w:rsidRDefault="00583630" w:rsidP="00B573C7">
      <w:pPr>
        <w:spacing w:after="120" w:line="360" w:lineRule="auto"/>
        <w:ind w:left="708" w:right="567"/>
        <w:jc w:val="both"/>
        <w:rPr>
          <w:sz w:val="26"/>
          <w:szCs w:val="26"/>
          <w:lang w:val="en-GB"/>
        </w:rPr>
      </w:pPr>
      <w:r w:rsidRPr="003F63A1">
        <w:rPr>
          <w:sz w:val="26"/>
          <w:szCs w:val="26"/>
          <w:lang w:val="en-GB"/>
        </w:rPr>
        <w:t xml:space="preserve">“Although the European Union did not raise procedural objections, under Article 6.2 of the DSU, against the United States’ challenge to an unwritten LA/MSF Programme before the Panel or in its appellee’s submission, </w:t>
      </w:r>
      <w:r w:rsidR="00F91E3A" w:rsidRPr="003F63A1">
        <w:rPr>
          <w:sz w:val="26"/>
          <w:szCs w:val="26"/>
          <w:lang w:val="en-GB"/>
        </w:rPr>
        <w:t>“</w:t>
      </w:r>
      <w:r w:rsidRPr="003F63A1">
        <w:rPr>
          <w:sz w:val="26"/>
          <w:szCs w:val="26"/>
          <w:lang w:val="en-GB"/>
        </w:rPr>
        <w:t xml:space="preserve">certain issues going to the </w:t>
      </w:r>
      <w:r w:rsidRPr="003F63A1">
        <w:rPr>
          <w:i/>
          <w:iCs/>
          <w:sz w:val="26"/>
          <w:szCs w:val="26"/>
          <w:lang w:val="en-GB"/>
        </w:rPr>
        <w:t>jurisdiction</w:t>
      </w:r>
      <w:r w:rsidRPr="003F63A1">
        <w:rPr>
          <w:sz w:val="26"/>
          <w:szCs w:val="26"/>
          <w:lang w:val="en-GB"/>
        </w:rPr>
        <w:t xml:space="preserve"> of a panel are so fundamental that they may be considered at any stage in a proceeding.</w:t>
      </w:r>
      <w:r w:rsidR="00F91E3A" w:rsidRPr="003F63A1">
        <w:rPr>
          <w:sz w:val="26"/>
          <w:szCs w:val="26"/>
          <w:lang w:val="en-GB"/>
        </w:rPr>
        <w:t>”</w:t>
      </w:r>
      <w:r w:rsidRPr="003F63A1">
        <w:rPr>
          <w:sz w:val="26"/>
          <w:szCs w:val="26"/>
          <w:lang w:val="en-GB"/>
        </w:rPr>
        <w:t xml:space="preserve"> In this case, we have deemed it necessary to consider these issues on our own motion”</w:t>
      </w:r>
      <w:r w:rsidR="00F91E3A" w:rsidRPr="003F63A1">
        <w:rPr>
          <w:sz w:val="26"/>
          <w:szCs w:val="26"/>
          <w:lang w:val="en-GB"/>
        </w:rPr>
        <w:t>.</w:t>
      </w:r>
      <w:r w:rsidR="00355C83" w:rsidRPr="003F63A1">
        <w:rPr>
          <w:szCs w:val="26"/>
          <w:vertAlign w:val="superscript"/>
          <w:lang w:val="en-GB"/>
        </w:rPr>
        <w:footnoteReference w:id="12"/>
      </w:r>
    </w:p>
    <w:p w14:paraId="0BB6C5B8" w14:textId="1EB65B94" w:rsidR="00583630" w:rsidRPr="003F63A1" w:rsidRDefault="00583630" w:rsidP="007E2594">
      <w:pPr>
        <w:pStyle w:val="a3"/>
        <w:numPr>
          <w:ilvl w:val="0"/>
          <w:numId w:val="19"/>
        </w:numPr>
        <w:spacing w:after="120" w:line="360" w:lineRule="auto"/>
        <w:ind w:left="426" w:hanging="426"/>
        <w:rPr>
          <w:szCs w:val="26"/>
          <w:lang w:val="en-GB"/>
        </w:rPr>
      </w:pPr>
      <w:r w:rsidRPr="003F63A1">
        <w:rPr>
          <w:szCs w:val="26"/>
          <w:lang w:val="en-US"/>
        </w:rPr>
        <w:t>Many other WTO instances confirm this basic requirement.</w:t>
      </w:r>
      <w:r w:rsidRPr="003F63A1">
        <w:rPr>
          <w:szCs w:val="26"/>
          <w:vertAlign w:val="superscript"/>
          <w:lang w:val="en-US"/>
        </w:rPr>
        <w:footnoteReference w:id="13"/>
      </w:r>
      <w:r w:rsidRPr="003F63A1">
        <w:rPr>
          <w:szCs w:val="26"/>
          <w:lang w:val="en-US"/>
        </w:rPr>
        <w:t xml:space="preserve"> </w:t>
      </w:r>
      <w:r w:rsidR="001F0BD3">
        <w:rPr>
          <w:szCs w:val="26"/>
          <w:lang w:val="en-US"/>
        </w:rPr>
        <w:t>Moreover,</w:t>
      </w:r>
      <w:r w:rsidRPr="003F63A1">
        <w:rPr>
          <w:szCs w:val="26"/>
          <w:lang w:val="en-US"/>
        </w:rPr>
        <w:t xml:space="preserve"> this is also the same solution that is followed in arbitration proceedings in general. The </w:t>
      </w:r>
      <w:r w:rsidR="001C07ED" w:rsidRPr="003F63A1">
        <w:rPr>
          <w:szCs w:val="26"/>
          <w:lang w:val="en-US"/>
        </w:rPr>
        <w:t xml:space="preserve">most striking </w:t>
      </w:r>
      <w:r w:rsidRPr="003F63A1">
        <w:rPr>
          <w:szCs w:val="26"/>
          <w:lang w:val="en-US"/>
        </w:rPr>
        <w:t xml:space="preserve">example perhaps is </w:t>
      </w:r>
      <w:r w:rsidR="00F91E3A" w:rsidRPr="003F63A1">
        <w:rPr>
          <w:szCs w:val="26"/>
          <w:lang w:val="en-US"/>
        </w:rPr>
        <w:t xml:space="preserve">the </w:t>
      </w:r>
      <w:r w:rsidRPr="003F63A1">
        <w:rPr>
          <w:i/>
          <w:szCs w:val="26"/>
          <w:lang w:val="en-US"/>
        </w:rPr>
        <w:t>Siag v. Egypt</w:t>
      </w:r>
      <w:r w:rsidR="00F91E3A" w:rsidRPr="003F63A1">
        <w:rPr>
          <w:i/>
          <w:szCs w:val="26"/>
          <w:lang w:val="en-US"/>
        </w:rPr>
        <w:t xml:space="preserve"> </w:t>
      </w:r>
      <w:r w:rsidR="00F91E3A" w:rsidRPr="003F63A1">
        <w:rPr>
          <w:iCs/>
          <w:szCs w:val="26"/>
          <w:lang w:val="en-US"/>
        </w:rPr>
        <w:t>arbitration</w:t>
      </w:r>
      <w:r w:rsidRPr="003F63A1">
        <w:rPr>
          <w:szCs w:val="26"/>
          <w:lang w:val="en-US"/>
        </w:rPr>
        <w:t>. In this case, despite having found that the objection was to be dismissed as untimely,</w:t>
      </w:r>
      <w:r w:rsidRPr="003F63A1">
        <w:rPr>
          <w:szCs w:val="26"/>
          <w:vertAlign w:val="superscript"/>
          <w:lang w:val="en-US"/>
        </w:rPr>
        <w:footnoteReference w:id="14"/>
      </w:r>
      <w:r w:rsidRPr="003F63A1">
        <w:rPr>
          <w:szCs w:val="26"/>
          <w:lang w:val="en-US"/>
        </w:rPr>
        <w:t xml:space="preserve"> the Tribunal held:</w:t>
      </w:r>
    </w:p>
    <w:p w14:paraId="6CF10487" w14:textId="57C5E685" w:rsidR="00A42894" w:rsidRPr="003F63A1" w:rsidRDefault="00A42894" w:rsidP="00FC59BC">
      <w:pPr>
        <w:spacing w:after="120" w:line="360" w:lineRule="auto"/>
        <w:ind w:left="708" w:right="567"/>
        <w:jc w:val="both"/>
        <w:rPr>
          <w:sz w:val="26"/>
          <w:szCs w:val="26"/>
          <w:lang w:val="en-GB"/>
        </w:rPr>
      </w:pPr>
      <w:r w:rsidRPr="003F63A1">
        <w:rPr>
          <w:sz w:val="26"/>
          <w:szCs w:val="26"/>
          <w:lang w:val="en-US"/>
        </w:rPr>
        <w:t>“</w:t>
      </w:r>
      <w:r w:rsidRPr="003F63A1">
        <w:rPr>
          <w:sz w:val="26"/>
          <w:szCs w:val="26"/>
          <w:lang w:val="en-GB"/>
        </w:rPr>
        <w:t>Nevertheless, in the interests of completeness the Tribunal will examine and decide Egypt</w:t>
      </w:r>
      <w:r w:rsidRPr="003F63A1">
        <w:rPr>
          <w:rFonts w:hint="eastAsia"/>
          <w:sz w:val="26"/>
          <w:szCs w:val="26"/>
          <w:lang w:val="en-GB"/>
        </w:rPr>
        <w:t>’</w:t>
      </w:r>
      <w:r w:rsidRPr="003F63A1">
        <w:rPr>
          <w:sz w:val="26"/>
          <w:szCs w:val="26"/>
          <w:lang w:val="en-GB"/>
        </w:rPr>
        <w:t>s bankruptcy objection as if it had been presented timeously and there had been no waiver. This course of action is appropriate for another reason, namely that, following Procedural Order No. 7 of 11 March 2008, Egypt pursued this argument at the merits phase of the arbitration, albeit as a subsidiary defence</w:t>
      </w:r>
      <w:r w:rsidRPr="003F63A1">
        <w:rPr>
          <w:sz w:val="26"/>
          <w:szCs w:val="26"/>
          <w:lang w:val="en-US"/>
        </w:rPr>
        <w:t>”.</w:t>
      </w:r>
      <w:r w:rsidR="00486ED4" w:rsidRPr="00486ED4">
        <w:rPr>
          <w:szCs w:val="26"/>
          <w:vertAlign w:val="superscript"/>
          <w:lang w:val="en-US"/>
        </w:rPr>
        <w:t xml:space="preserve"> </w:t>
      </w:r>
      <w:r w:rsidR="00B83647">
        <w:rPr>
          <w:rStyle w:val="af6"/>
          <w:szCs w:val="26"/>
          <w:lang w:val="en-US"/>
        </w:rPr>
        <w:footnoteReference w:id="15"/>
      </w:r>
    </w:p>
    <w:p w14:paraId="2216BAD2" w14:textId="5E53CBF0" w:rsidR="00A42894" w:rsidRPr="003F63A1" w:rsidRDefault="00A42894" w:rsidP="007E2594">
      <w:pPr>
        <w:pStyle w:val="a3"/>
        <w:numPr>
          <w:ilvl w:val="0"/>
          <w:numId w:val="19"/>
        </w:numPr>
        <w:spacing w:after="120" w:line="360" w:lineRule="auto"/>
        <w:ind w:left="426" w:hanging="426"/>
        <w:rPr>
          <w:szCs w:val="26"/>
          <w:lang w:val="en-GB"/>
        </w:rPr>
      </w:pPr>
      <w:r w:rsidRPr="003F63A1">
        <w:rPr>
          <w:b/>
          <w:bCs/>
          <w:szCs w:val="26"/>
          <w:lang w:val="en-GB"/>
        </w:rPr>
        <w:lastRenderedPageBreak/>
        <w:t>In conclusion</w:t>
      </w:r>
      <w:r w:rsidRPr="003F63A1">
        <w:rPr>
          <w:szCs w:val="26"/>
          <w:lang w:val="en-GB"/>
        </w:rPr>
        <w:t xml:space="preserve">, the European Union’s </w:t>
      </w:r>
      <w:r w:rsidR="00B06A48">
        <w:rPr>
          <w:szCs w:val="26"/>
          <w:lang w:val="en-GB"/>
        </w:rPr>
        <w:t>claim</w:t>
      </w:r>
      <w:r w:rsidR="00A579D2" w:rsidRPr="003F63A1">
        <w:rPr>
          <w:szCs w:val="26"/>
          <w:lang w:val="en-GB"/>
        </w:rPr>
        <w:t xml:space="preserve"> </w:t>
      </w:r>
      <w:r w:rsidRPr="003F63A1">
        <w:rPr>
          <w:szCs w:val="26"/>
          <w:lang w:val="en-GB"/>
        </w:rPr>
        <w:t>that Ukraine’s jurisdictional</w:t>
      </w:r>
      <w:r w:rsidRPr="00443E92">
        <w:rPr>
          <w:szCs w:val="26"/>
          <w:lang w:val="en-GB"/>
        </w:rPr>
        <w:t>/admissibility</w:t>
      </w:r>
      <w:r w:rsidRPr="003F63A1">
        <w:rPr>
          <w:szCs w:val="26"/>
          <w:lang w:val="en-GB"/>
        </w:rPr>
        <w:t xml:space="preserve"> objection is untimely and should not even be looked at is </w:t>
      </w:r>
      <w:r w:rsidR="00F91E3A" w:rsidRPr="003F63A1">
        <w:rPr>
          <w:szCs w:val="26"/>
          <w:lang w:val="en-GB"/>
        </w:rPr>
        <w:t xml:space="preserve">(i) </w:t>
      </w:r>
      <w:r w:rsidRPr="003F63A1">
        <w:rPr>
          <w:szCs w:val="26"/>
          <w:lang w:val="en-GB"/>
        </w:rPr>
        <w:t xml:space="preserve">without any legal basis in the Association Agreement or the Working Procedures, </w:t>
      </w:r>
      <w:r w:rsidR="00F91E3A" w:rsidRPr="003F63A1">
        <w:rPr>
          <w:szCs w:val="26"/>
          <w:lang w:val="en-GB"/>
        </w:rPr>
        <w:t xml:space="preserve">(ii) </w:t>
      </w:r>
      <w:r w:rsidRPr="003F63A1">
        <w:rPr>
          <w:szCs w:val="26"/>
          <w:lang w:val="en-GB"/>
        </w:rPr>
        <w:t xml:space="preserve">inconsistent with the rationale of the arbitration procedure as set up in the Association Agreement, </w:t>
      </w:r>
      <w:r w:rsidR="00D41015" w:rsidRPr="003F63A1">
        <w:rPr>
          <w:szCs w:val="26"/>
          <w:lang w:val="en-GB"/>
        </w:rPr>
        <w:t xml:space="preserve">and (iii) </w:t>
      </w:r>
      <w:r w:rsidRPr="003F63A1">
        <w:rPr>
          <w:szCs w:val="26"/>
          <w:lang w:val="en-GB"/>
        </w:rPr>
        <w:t>does not find any support in international practice, including before the WTO.</w:t>
      </w:r>
    </w:p>
    <w:p w14:paraId="2B4C2030" w14:textId="732AF53E" w:rsidR="00A42894" w:rsidRPr="003F63A1" w:rsidRDefault="00A42894" w:rsidP="00A42894">
      <w:pPr>
        <w:pStyle w:val="4"/>
        <w:rPr>
          <w:rFonts w:cs="Times New Roman"/>
          <w:szCs w:val="26"/>
          <w:lang w:val="en-GB"/>
        </w:rPr>
      </w:pPr>
      <w:bookmarkStart w:id="21" w:name="_Toc52886568"/>
      <w:bookmarkStart w:id="22" w:name="_Toc52896873"/>
      <w:r w:rsidRPr="003F63A1">
        <w:rPr>
          <w:rFonts w:cs="Times New Roman"/>
          <w:szCs w:val="26"/>
          <w:lang w:val="en-GB"/>
        </w:rPr>
        <w:t>The facts</w:t>
      </w:r>
      <w:bookmarkEnd w:id="21"/>
      <w:bookmarkEnd w:id="22"/>
    </w:p>
    <w:p w14:paraId="7932217E" w14:textId="3AECF4DD" w:rsidR="001D47D5" w:rsidRPr="003F63A1" w:rsidRDefault="001D47D5" w:rsidP="007E2594">
      <w:pPr>
        <w:pStyle w:val="a3"/>
        <w:numPr>
          <w:ilvl w:val="0"/>
          <w:numId w:val="19"/>
        </w:numPr>
        <w:spacing w:after="120" w:line="360" w:lineRule="auto"/>
        <w:rPr>
          <w:szCs w:val="26"/>
          <w:lang w:val="en-GB"/>
        </w:rPr>
      </w:pPr>
      <w:r w:rsidRPr="003F63A1">
        <w:rPr>
          <w:szCs w:val="26"/>
          <w:lang w:val="en-GB"/>
        </w:rPr>
        <w:t xml:space="preserve">Ukraine would like to reiterate its oral submissions on the point </w:t>
      </w:r>
      <w:r w:rsidR="0024329A" w:rsidRPr="003F63A1">
        <w:rPr>
          <w:szCs w:val="26"/>
          <w:lang w:val="en-GB"/>
        </w:rPr>
        <w:t xml:space="preserve">concerning </w:t>
      </w:r>
      <w:r w:rsidRPr="003F63A1">
        <w:rPr>
          <w:szCs w:val="26"/>
          <w:lang w:val="en-GB"/>
        </w:rPr>
        <w:t xml:space="preserve">the development </w:t>
      </w:r>
      <w:r w:rsidR="0024329A" w:rsidRPr="003F63A1">
        <w:rPr>
          <w:szCs w:val="26"/>
          <w:lang w:val="en-GB"/>
        </w:rPr>
        <w:t xml:space="preserve">of the Parties’ pleadings </w:t>
      </w:r>
      <w:r w:rsidRPr="003F63A1">
        <w:rPr>
          <w:szCs w:val="26"/>
          <w:lang w:val="en-GB"/>
        </w:rPr>
        <w:t xml:space="preserve">that already took place regarding the express jurisdiction </w:t>
      </w:r>
      <w:r w:rsidR="00152032" w:rsidRPr="003F63A1">
        <w:rPr>
          <w:szCs w:val="26"/>
          <w:lang w:val="en-GB"/>
        </w:rPr>
        <w:t xml:space="preserve">of another body </w:t>
      </w:r>
      <w:r w:rsidR="0052197A" w:rsidRPr="003F63A1">
        <w:rPr>
          <w:szCs w:val="26"/>
          <w:lang w:val="en-US"/>
        </w:rPr>
        <w:t xml:space="preserve">under the </w:t>
      </w:r>
      <w:r w:rsidR="0052197A" w:rsidRPr="003F63A1">
        <w:rPr>
          <w:szCs w:val="26"/>
          <w:lang w:val="en-GB"/>
        </w:rPr>
        <w:t xml:space="preserve">Association Agreement </w:t>
      </w:r>
      <w:r w:rsidR="00152032" w:rsidRPr="003F63A1">
        <w:rPr>
          <w:szCs w:val="26"/>
          <w:lang w:val="en-GB"/>
        </w:rPr>
        <w:t xml:space="preserve">for the Parties’ present dispute </w:t>
      </w:r>
      <w:r w:rsidRPr="003F63A1">
        <w:rPr>
          <w:szCs w:val="26"/>
          <w:lang w:val="en-GB"/>
        </w:rPr>
        <w:t xml:space="preserve">provided for in </w:t>
      </w:r>
      <w:r w:rsidR="00152032" w:rsidRPr="003F63A1">
        <w:rPr>
          <w:szCs w:val="26"/>
          <w:lang w:val="en-GB"/>
        </w:rPr>
        <w:t>A</w:t>
      </w:r>
      <w:r w:rsidRPr="003F63A1">
        <w:rPr>
          <w:szCs w:val="26"/>
          <w:lang w:val="en-GB"/>
        </w:rPr>
        <w:t>rticles 300 and 301 of the Association Agreement</w:t>
      </w:r>
      <w:r w:rsidR="00152032" w:rsidRPr="003F63A1">
        <w:rPr>
          <w:szCs w:val="26"/>
          <w:lang w:val="en-GB"/>
        </w:rPr>
        <w:t>.</w:t>
      </w:r>
    </w:p>
    <w:p w14:paraId="78B287E9" w14:textId="5CADAEA1" w:rsidR="001D47D5" w:rsidRPr="003F63A1" w:rsidRDefault="001D47D5" w:rsidP="007E2594">
      <w:pPr>
        <w:pStyle w:val="a3"/>
        <w:numPr>
          <w:ilvl w:val="0"/>
          <w:numId w:val="19"/>
        </w:numPr>
        <w:spacing w:after="120" w:line="360" w:lineRule="auto"/>
        <w:rPr>
          <w:szCs w:val="26"/>
          <w:lang w:val="en-GB"/>
        </w:rPr>
      </w:pPr>
      <w:r w:rsidRPr="003F63A1">
        <w:rPr>
          <w:szCs w:val="26"/>
          <w:lang w:val="en-GB"/>
        </w:rPr>
        <w:t>It was the European Union who raised, for the first time, the issue of the dispute settlement mechanism specific to Chapter 13</w:t>
      </w:r>
      <w:r w:rsidR="00A829AD" w:rsidRPr="003F63A1">
        <w:rPr>
          <w:szCs w:val="26"/>
          <w:lang w:val="en-GB"/>
        </w:rPr>
        <w:t xml:space="preserve"> of the Association Agreement</w:t>
      </w:r>
      <w:r w:rsidRPr="003F63A1">
        <w:rPr>
          <w:szCs w:val="26"/>
          <w:lang w:val="en-GB"/>
        </w:rPr>
        <w:t>.</w:t>
      </w:r>
    </w:p>
    <w:p w14:paraId="2C80695A" w14:textId="2F7A8B91" w:rsidR="008236AD" w:rsidRPr="00355C83" w:rsidRDefault="008236AD" w:rsidP="00355C83">
      <w:pPr>
        <w:pStyle w:val="a3"/>
        <w:numPr>
          <w:ilvl w:val="0"/>
          <w:numId w:val="19"/>
        </w:numPr>
        <w:spacing w:after="120" w:line="360" w:lineRule="auto"/>
        <w:rPr>
          <w:szCs w:val="26"/>
          <w:lang w:val="en-GB"/>
        </w:rPr>
      </w:pPr>
      <w:r w:rsidRPr="00355C83">
        <w:rPr>
          <w:szCs w:val="26"/>
          <w:lang w:val="en-GB"/>
        </w:rPr>
        <w:t xml:space="preserve">By responding to Question No. 66 of </w:t>
      </w:r>
      <w:r w:rsidRPr="00F538A8">
        <w:rPr>
          <w:szCs w:val="26"/>
          <w:lang w:val="en-GB"/>
        </w:rPr>
        <w:t>to the First List of Questions</w:t>
      </w:r>
      <w:r w:rsidR="0052197A" w:rsidRPr="00F538A8">
        <w:rPr>
          <w:szCs w:val="26"/>
          <w:lang w:val="en-GB"/>
        </w:rPr>
        <w:t xml:space="preserve"> to the Parties from the Arbitration Panel</w:t>
      </w:r>
      <w:r w:rsidR="009F291F">
        <w:rPr>
          <w:szCs w:val="26"/>
          <w:lang w:val="en-GB"/>
        </w:rPr>
        <w:t xml:space="preserve"> (“</w:t>
      </w:r>
      <w:r w:rsidR="009F291F" w:rsidRPr="00417CBF">
        <w:rPr>
          <w:bCs/>
          <w:szCs w:val="26"/>
          <w:lang w:val="en-GB"/>
        </w:rPr>
        <w:t>First List of Questions</w:t>
      </w:r>
      <w:r w:rsidR="009F291F">
        <w:rPr>
          <w:szCs w:val="26"/>
          <w:lang w:val="en-GB"/>
        </w:rPr>
        <w:t>”)</w:t>
      </w:r>
      <w:r w:rsidRPr="00355C83">
        <w:rPr>
          <w:szCs w:val="26"/>
          <w:lang w:val="en-GB"/>
        </w:rPr>
        <w:t xml:space="preserve">, the European Union first tried to have Ukraine’s argument based on Article 294 “Trade in forest products” of the Association Agreement rejected because it would amount to an alleged countermeasure, which given its legal basis should be subject to the dispute settlement mechanism specific </w:t>
      </w:r>
      <w:r w:rsidR="00461038" w:rsidRPr="00355C83">
        <w:rPr>
          <w:szCs w:val="26"/>
          <w:lang w:val="en-GB"/>
        </w:rPr>
        <w:t xml:space="preserve">for </w:t>
      </w:r>
      <w:r w:rsidRPr="00355C83">
        <w:rPr>
          <w:szCs w:val="26"/>
          <w:lang w:val="en-GB"/>
        </w:rPr>
        <w:t xml:space="preserve">Chapter 13 (even though Ukraine never qualified its recourse to </w:t>
      </w:r>
      <w:r w:rsidR="00461038" w:rsidRPr="00355C83">
        <w:rPr>
          <w:szCs w:val="26"/>
          <w:lang w:val="en-GB"/>
        </w:rPr>
        <w:t xml:space="preserve">articles of </w:t>
      </w:r>
      <w:r w:rsidRPr="00355C83">
        <w:rPr>
          <w:szCs w:val="26"/>
          <w:lang w:val="en-GB"/>
        </w:rPr>
        <w:t>Chapter 13</w:t>
      </w:r>
      <w:r w:rsidR="00461038" w:rsidRPr="00355C83">
        <w:rPr>
          <w:szCs w:val="26"/>
          <w:lang w:val="en-GB"/>
        </w:rPr>
        <w:t xml:space="preserve"> of the Association Agreement </w:t>
      </w:r>
      <w:r w:rsidRPr="00A16D83">
        <w:rPr>
          <w:szCs w:val="26"/>
          <w:lang w:val="en-GB"/>
        </w:rPr>
        <w:t>as a countermeasure)</w:t>
      </w:r>
      <w:r w:rsidR="00461038" w:rsidRPr="00A16D83">
        <w:rPr>
          <w:szCs w:val="26"/>
          <w:lang w:val="en-GB"/>
        </w:rPr>
        <w:t>:</w:t>
      </w:r>
    </w:p>
    <w:p w14:paraId="25767E5E" w14:textId="1576E07D" w:rsidR="00461038" w:rsidRPr="003F63A1" w:rsidRDefault="00151224" w:rsidP="00C36A24">
      <w:pPr>
        <w:spacing w:after="120" w:line="360" w:lineRule="auto"/>
        <w:ind w:left="708" w:right="567"/>
        <w:jc w:val="both"/>
        <w:rPr>
          <w:sz w:val="26"/>
          <w:szCs w:val="26"/>
          <w:lang w:val="en-GB"/>
        </w:rPr>
      </w:pPr>
      <w:r w:rsidRPr="003F63A1">
        <w:rPr>
          <w:sz w:val="26"/>
          <w:szCs w:val="26"/>
          <w:lang w:val="en-GB"/>
        </w:rPr>
        <w:t xml:space="preserve">“In accordance with the above provision [i.e. Article 300 of the Association Agreement], and with the requirements of customary general international law on countermeasures, if Ukraine considers that the European Union has failed to comply with its cooperation obligation under Article 294 of the Association Agreement, it must have recourse to dispute settlement under the specific procedures for matters arising under </w:t>
      </w:r>
      <w:r w:rsidRPr="003F63A1">
        <w:rPr>
          <w:sz w:val="26"/>
          <w:szCs w:val="26"/>
          <w:lang w:val="en-GB"/>
        </w:rPr>
        <w:lastRenderedPageBreak/>
        <w:t>Chapter 13 provided for in Articles 300 and 301 of the Association Agreement”</w:t>
      </w:r>
      <w:r w:rsidR="0050009E" w:rsidRPr="003F63A1">
        <w:rPr>
          <w:sz w:val="26"/>
          <w:szCs w:val="26"/>
          <w:lang w:val="en-GB"/>
        </w:rPr>
        <w:t>.</w:t>
      </w:r>
      <w:r w:rsidR="00355C83" w:rsidRPr="00355C83">
        <w:rPr>
          <w:rStyle w:val="af6"/>
          <w:szCs w:val="26"/>
          <w:lang w:val="en-GB"/>
        </w:rPr>
        <w:t xml:space="preserve"> </w:t>
      </w:r>
      <w:r w:rsidR="00355C83" w:rsidRPr="003F63A1">
        <w:rPr>
          <w:rStyle w:val="af6"/>
          <w:szCs w:val="26"/>
          <w:lang w:val="en-GB"/>
        </w:rPr>
        <w:footnoteReference w:id="16"/>
      </w:r>
    </w:p>
    <w:p w14:paraId="14EEF81C" w14:textId="0B73582A" w:rsidR="008236AD" w:rsidRPr="003F63A1" w:rsidRDefault="00151224" w:rsidP="007E2594">
      <w:pPr>
        <w:pStyle w:val="a3"/>
        <w:numPr>
          <w:ilvl w:val="0"/>
          <w:numId w:val="19"/>
        </w:numPr>
        <w:spacing w:after="120" w:line="360" w:lineRule="auto"/>
        <w:rPr>
          <w:szCs w:val="26"/>
          <w:lang w:val="en-GB"/>
        </w:rPr>
      </w:pPr>
      <w:r w:rsidRPr="003F63A1">
        <w:rPr>
          <w:szCs w:val="26"/>
          <w:lang w:val="en-GB"/>
        </w:rPr>
        <w:t xml:space="preserve">The European Union went on to state that if Ukraine’s intention was rather to raise a counterclaim, this would be contrary to the Terms of Reference of this arbitration (an interpretation of Chapter 14 of the </w:t>
      </w:r>
      <w:r w:rsidR="0050009E" w:rsidRPr="003F63A1">
        <w:rPr>
          <w:szCs w:val="26"/>
          <w:lang w:val="en-GB"/>
        </w:rPr>
        <w:t xml:space="preserve">Association Agreement </w:t>
      </w:r>
      <w:r w:rsidRPr="003F63A1">
        <w:rPr>
          <w:szCs w:val="26"/>
          <w:lang w:val="en-GB"/>
        </w:rPr>
        <w:t xml:space="preserve">which doesn’t seem to </w:t>
      </w:r>
      <w:r w:rsidR="0050009E" w:rsidRPr="003F63A1">
        <w:rPr>
          <w:szCs w:val="26"/>
          <w:lang w:val="en-GB"/>
        </w:rPr>
        <w:t xml:space="preserve">be </w:t>
      </w:r>
      <w:r w:rsidRPr="003F63A1">
        <w:rPr>
          <w:szCs w:val="26"/>
          <w:lang w:val="en-GB"/>
        </w:rPr>
        <w:t>founded):</w:t>
      </w:r>
      <w:r w:rsidR="0060353B" w:rsidRPr="003F63A1">
        <w:rPr>
          <w:rStyle w:val="af6"/>
          <w:szCs w:val="26"/>
          <w:lang w:val="en-GB"/>
        </w:rPr>
        <w:t xml:space="preserve"> </w:t>
      </w:r>
    </w:p>
    <w:p w14:paraId="2ED63307" w14:textId="630A0B69" w:rsidR="0050009E" w:rsidRPr="003F63A1" w:rsidRDefault="0050009E" w:rsidP="00C36A24">
      <w:pPr>
        <w:spacing w:after="120" w:line="360" w:lineRule="auto"/>
        <w:ind w:left="708" w:right="567"/>
        <w:jc w:val="both"/>
        <w:rPr>
          <w:sz w:val="26"/>
          <w:szCs w:val="26"/>
          <w:lang w:val="en-GB"/>
        </w:rPr>
      </w:pPr>
      <w:r w:rsidRPr="003F63A1">
        <w:rPr>
          <w:sz w:val="26"/>
          <w:szCs w:val="26"/>
          <w:lang w:val="en-GB"/>
        </w:rPr>
        <w:t xml:space="preserve">“[…] a determination of whether the European Union has failed to comply with Article 294 of the Association Agreement would be manifestly beyond the terms of reference of this Panel, for the following reasons: first, the dispute settlement procedures in Chapter 14 of the Association Agreement do not allow the respondent to bring counter-claims; second, in any event, according to </w:t>
      </w:r>
      <w:r w:rsidRPr="003F63A1">
        <w:rPr>
          <w:b/>
          <w:bCs/>
          <w:sz w:val="26"/>
          <w:szCs w:val="26"/>
          <w:lang w:val="en-GB"/>
        </w:rPr>
        <w:t>Article 304 of the Association Agreement, the provisions of Chapter 14</w:t>
      </w:r>
      <w:r w:rsidRPr="003F63A1">
        <w:rPr>
          <w:sz w:val="26"/>
          <w:szCs w:val="26"/>
          <w:lang w:val="en-GB"/>
        </w:rPr>
        <w:t xml:space="preserve"> “apply in respect to any dispute concerning the interpretation and application of the provisions of Title IV of this Agreement except as otherwise expressly provided” and, therefore, </w:t>
      </w:r>
      <w:r w:rsidRPr="003F63A1">
        <w:rPr>
          <w:b/>
          <w:bCs/>
          <w:sz w:val="26"/>
          <w:szCs w:val="26"/>
          <w:lang w:val="en-GB"/>
        </w:rPr>
        <w:t>do not cover claims</w:t>
      </w:r>
      <w:r w:rsidRPr="003F63A1">
        <w:rPr>
          <w:sz w:val="26"/>
          <w:szCs w:val="26"/>
          <w:lang w:val="en-GB"/>
        </w:rPr>
        <w:t xml:space="preserve"> </w:t>
      </w:r>
      <w:r w:rsidRPr="003F63A1">
        <w:rPr>
          <w:b/>
          <w:bCs/>
          <w:sz w:val="26"/>
          <w:szCs w:val="26"/>
          <w:lang w:val="en-GB"/>
        </w:rPr>
        <w:t>or counter-claims based on Article 294</w:t>
      </w:r>
      <w:r w:rsidRPr="003F63A1">
        <w:rPr>
          <w:sz w:val="26"/>
          <w:szCs w:val="26"/>
          <w:lang w:val="en-GB"/>
        </w:rPr>
        <w:t>; and third, instead, as just mentioned, disputes concerning Chapter 13, including Article 294, must be submitted in accordance with the specific procedures in Articles 300 and 301”</w:t>
      </w:r>
      <w:r w:rsidR="0060353B" w:rsidRPr="003F63A1">
        <w:rPr>
          <w:sz w:val="26"/>
          <w:szCs w:val="26"/>
          <w:lang w:val="en-GB"/>
        </w:rPr>
        <w:t xml:space="preserve"> [bold added].</w:t>
      </w:r>
      <w:r w:rsidR="00355C83" w:rsidRPr="00355C83">
        <w:rPr>
          <w:rStyle w:val="af6"/>
          <w:szCs w:val="26"/>
          <w:lang w:val="en-GB"/>
        </w:rPr>
        <w:t xml:space="preserve"> </w:t>
      </w:r>
      <w:r w:rsidR="00355C83" w:rsidRPr="003F63A1">
        <w:rPr>
          <w:rStyle w:val="af6"/>
          <w:szCs w:val="26"/>
          <w:lang w:val="en-GB"/>
        </w:rPr>
        <w:footnoteReference w:id="17"/>
      </w:r>
    </w:p>
    <w:p w14:paraId="7F0FB3A7" w14:textId="0D50B4E4" w:rsidR="0060353B" w:rsidRPr="003F63A1" w:rsidRDefault="0060353B" w:rsidP="007E2594">
      <w:pPr>
        <w:pStyle w:val="a3"/>
        <w:numPr>
          <w:ilvl w:val="0"/>
          <w:numId w:val="19"/>
        </w:numPr>
        <w:spacing w:after="120" w:line="360" w:lineRule="auto"/>
        <w:rPr>
          <w:szCs w:val="26"/>
          <w:lang w:val="en-GB"/>
        </w:rPr>
      </w:pPr>
      <w:r w:rsidRPr="003F63A1">
        <w:rPr>
          <w:szCs w:val="26"/>
          <w:lang w:val="en-GB"/>
        </w:rPr>
        <w:t>Ukraine picked up on this response asking for the following question to be put to the European Union:</w:t>
      </w:r>
    </w:p>
    <w:p w14:paraId="5A0DE2A3" w14:textId="2EDC1A6F" w:rsidR="0060353B" w:rsidRPr="003F63A1" w:rsidRDefault="008E59ED" w:rsidP="00C36A24">
      <w:pPr>
        <w:spacing w:after="120" w:line="360" w:lineRule="auto"/>
        <w:ind w:left="708" w:right="567"/>
        <w:jc w:val="both"/>
        <w:rPr>
          <w:sz w:val="26"/>
          <w:szCs w:val="26"/>
          <w:lang w:val="en-GB"/>
        </w:rPr>
      </w:pPr>
      <w:r w:rsidRPr="003F63A1">
        <w:rPr>
          <w:sz w:val="26"/>
          <w:szCs w:val="26"/>
          <w:lang w:val="en-GB"/>
        </w:rPr>
        <w:t xml:space="preserve">“In regard to paragraph 323 of the Responses by the European Union </w:t>
      </w:r>
      <w:r w:rsidRPr="004C09D2">
        <w:rPr>
          <w:sz w:val="26"/>
          <w:szCs w:val="26"/>
          <w:lang w:val="en-GB"/>
        </w:rPr>
        <w:t xml:space="preserve">to the </w:t>
      </w:r>
      <w:r w:rsidR="004C09D2">
        <w:rPr>
          <w:sz w:val="26"/>
          <w:szCs w:val="26"/>
          <w:lang w:val="en-GB"/>
        </w:rPr>
        <w:t xml:space="preserve">First </w:t>
      </w:r>
      <w:r w:rsidRPr="004C09D2">
        <w:rPr>
          <w:sz w:val="26"/>
          <w:szCs w:val="26"/>
          <w:lang w:val="en-GB"/>
        </w:rPr>
        <w:t>List of Questions</w:t>
      </w:r>
      <w:r w:rsidR="004C09D2">
        <w:rPr>
          <w:sz w:val="26"/>
          <w:szCs w:val="26"/>
          <w:lang w:val="en-GB"/>
        </w:rPr>
        <w:t xml:space="preserve"> </w:t>
      </w:r>
      <w:r w:rsidRPr="003F63A1">
        <w:rPr>
          <w:sz w:val="26"/>
          <w:szCs w:val="26"/>
          <w:lang w:val="en-GB"/>
        </w:rPr>
        <w:t xml:space="preserve">(question No. 66), given the European Union’s position that “disputes concerning Chapter 13, </w:t>
      </w:r>
      <w:r w:rsidR="009045A6">
        <w:rPr>
          <w:sz w:val="26"/>
          <w:szCs w:val="26"/>
          <w:lang w:val="en-GB"/>
        </w:rPr>
        <w:t>[</w:t>
      </w:r>
      <w:r w:rsidRPr="003F63A1">
        <w:rPr>
          <w:sz w:val="26"/>
          <w:szCs w:val="26"/>
          <w:lang w:val="en-GB"/>
        </w:rPr>
        <w:t>…</w:t>
      </w:r>
      <w:r w:rsidR="009045A6">
        <w:rPr>
          <w:sz w:val="26"/>
          <w:szCs w:val="26"/>
          <w:lang w:val="en-GB"/>
        </w:rPr>
        <w:t>]</w:t>
      </w:r>
      <w:r w:rsidRPr="003F63A1">
        <w:rPr>
          <w:sz w:val="26"/>
          <w:szCs w:val="26"/>
          <w:lang w:val="en-GB"/>
        </w:rPr>
        <w:t xml:space="preserve"> must be submitted in accordance with the specific procedures in Articles 300 and 301”, and would, therefore, be out of the jurisdiction of the Arbitration </w:t>
      </w:r>
      <w:r w:rsidR="000E5009" w:rsidRPr="003F63A1">
        <w:rPr>
          <w:sz w:val="26"/>
          <w:szCs w:val="26"/>
          <w:lang w:val="en-GB"/>
        </w:rPr>
        <w:t>P</w:t>
      </w:r>
      <w:r w:rsidRPr="003F63A1">
        <w:rPr>
          <w:sz w:val="26"/>
          <w:szCs w:val="26"/>
          <w:lang w:val="en-GB"/>
        </w:rPr>
        <w:t>anel (the</w:t>
      </w:r>
      <w:r w:rsidR="000E3086">
        <w:rPr>
          <w:sz w:val="26"/>
          <w:szCs w:val="26"/>
          <w:lang w:val="en-GB"/>
        </w:rPr>
        <w:t xml:space="preserve"> European Union’s answers, paragraph</w:t>
      </w:r>
      <w:r w:rsidRPr="003F63A1">
        <w:rPr>
          <w:sz w:val="26"/>
          <w:szCs w:val="26"/>
          <w:lang w:val="en-GB"/>
        </w:rPr>
        <w:t xml:space="preserve"> 323), does that imply that if the </w:t>
      </w:r>
      <w:r w:rsidRPr="003F63A1">
        <w:rPr>
          <w:sz w:val="26"/>
          <w:szCs w:val="26"/>
          <w:lang w:val="en-GB"/>
        </w:rPr>
        <w:lastRenderedPageBreak/>
        <w:t xml:space="preserve">Arbitration </w:t>
      </w:r>
      <w:r w:rsidR="000E5009" w:rsidRPr="003F63A1">
        <w:rPr>
          <w:sz w:val="26"/>
          <w:szCs w:val="26"/>
          <w:lang w:val="en-GB"/>
        </w:rPr>
        <w:t>P</w:t>
      </w:r>
      <w:r w:rsidRPr="003F63A1">
        <w:rPr>
          <w:sz w:val="26"/>
          <w:szCs w:val="26"/>
          <w:lang w:val="en-GB"/>
        </w:rPr>
        <w:t>anel was to find that either one or both of the Ukrainian measures at stake should be analyzed as falling under the ambit of some of the provisions of Chapter 13, and notably Article 290, 292, 294 or 296, then the Arbitration panel should consider declining to adjudge the European submissions related to such Ukrainian measures for lack of jurisdiction?”</w:t>
      </w:r>
      <w:r w:rsidR="00355C83">
        <w:rPr>
          <w:rStyle w:val="af6"/>
          <w:sz w:val="26"/>
          <w:szCs w:val="26"/>
          <w:lang w:val="en-GB"/>
        </w:rPr>
        <w:footnoteReference w:id="18"/>
      </w:r>
    </w:p>
    <w:p w14:paraId="4FE73E30" w14:textId="78A49406" w:rsidR="00E71DFF" w:rsidRPr="003F63A1" w:rsidRDefault="008E59ED" w:rsidP="007E2594">
      <w:pPr>
        <w:pStyle w:val="a3"/>
        <w:numPr>
          <w:ilvl w:val="0"/>
          <w:numId w:val="19"/>
        </w:numPr>
        <w:spacing w:after="120" w:line="360" w:lineRule="auto"/>
        <w:ind w:left="357" w:hanging="357"/>
        <w:rPr>
          <w:szCs w:val="26"/>
          <w:lang w:val="en-GB"/>
        </w:rPr>
      </w:pPr>
      <w:r w:rsidRPr="003F63A1">
        <w:rPr>
          <w:szCs w:val="26"/>
          <w:lang w:val="en-GB"/>
        </w:rPr>
        <w:t xml:space="preserve">The answer given by the European Union to the Ukrainian question is </w:t>
      </w:r>
      <w:r w:rsidR="00FA59F2" w:rsidRPr="003F63A1">
        <w:rPr>
          <w:szCs w:val="26"/>
          <w:lang w:val="en-GB"/>
        </w:rPr>
        <w:t xml:space="preserve">puzzling </w:t>
      </w:r>
      <w:r w:rsidRPr="003F63A1">
        <w:rPr>
          <w:szCs w:val="26"/>
          <w:lang w:val="en-GB"/>
        </w:rPr>
        <w:t xml:space="preserve">with regard to the </w:t>
      </w:r>
      <w:r w:rsidR="00E71DFF" w:rsidRPr="003F63A1">
        <w:rPr>
          <w:szCs w:val="26"/>
          <w:lang w:val="en-GB"/>
        </w:rPr>
        <w:t xml:space="preserve">jurisdictional </w:t>
      </w:r>
      <w:r w:rsidRPr="003F63A1">
        <w:rPr>
          <w:szCs w:val="26"/>
          <w:lang w:val="en-GB"/>
        </w:rPr>
        <w:t xml:space="preserve">issue </w:t>
      </w:r>
      <w:r w:rsidR="00E71DFF" w:rsidRPr="003F63A1">
        <w:rPr>
          <w:szCs w:val="26"/>
          <w:lang w:val="en-GB"/>
        </w:rPr>
        <w:t>of Article 300 of the Association Agreement:</w:t>
      </w:r>
    </w:p>
    <w:p w14:paraId="4F71D49B" w14:textId="02D9959F" w:rsidR="004D3959" w:rsidRPr="003F63A1" w:rsidRDefault="004D3959" w:rsidP="00C36A24">
      <w:pPr>
        <w:spacing w:after="120" w:line="360" w:lineRule="auto"/>
        <w:ind w:left="708" w:right="567"/>
        <w:jc w:val="both"/>
        <w:rPr>
          <w:sz w:val="26"/>
          <w:szCs w:val="26"/>
          <w:lang w:val="en-GB"/>
        </w:rPr>
      </w:pPr>
      <w:r w:rsidRPr="003F63A1">
        <w:rPr>
          <w:sz w:val="26"/>
          <w:szCs w:val="26"/>
          <w:lang w:val="en-GB"/>
        </w:rPr>
        <w:t xml:space="preserve">“Contrary to what is implied by Ukraine’s question, that response </w:t>
      </w:r>
      <w:r w:rsidRPr="003F63A1">
        <w:rPr>
          <w:color w:val="000000"/>
          <w:sz w:val="26"/>
          <w:szCs w:val="26"/>
          <w:lang w:val="en-GB"/>
        </w:rPr>
        <w:t xml:space="preserve">[i.e. the </w:t>
      </w:r>
      <w:r w:rsidRPr="003F63A1">
        <w:rPr>
          <w:sz w:val="26"/>
          <w:szCs w:val="26"/>
          <w:lang w:val="en-GB"/>
        </w:rPr>
        <w:t xml:space="preserve">European Union’s response </w:t>
      </w:r>
      <w:r w:rsidRPr="003F63A1">
        <w:rPr>
          <w:color w:val="000000"/>
          <w:sz w:val="26"/>
          <w:szCs w:val="26"/>
          <w:lang w:val="en-GB"/>
        </w:rPr>
        <w:t xml:space="preserve">to Panel’s Question No. 66] </w:t>
      </w:r>
      <w:r w:rsidRPr="003F63A1">
        <w:rPr>
          <w:sz w:val="26"/>
          <w:szCs w:val="26"/>
          <w:lang w:val="en-GB"/>
        </w:rPr>
        <w:t xml:space="preserve">does not address other provisions of Chapter 13 of the AA, such as Articles 290, 292 or 296 AA. Ukraine’s arguments based on those other provisions have been addressed in the </w:t>
      </w:r>
      <w:r w:rsidR="003F63A1" w:rsidRPr="003F63A1">
        <w:rPr>
          <w:sz w:val="26"/>
          <w:szCs w:val="26"/>
          <w:lang w:val="en-GB"/>
        </w:rPr>
        <w:t>European Union</w:t>
      </w:r>
      <w:r w:rsidRPr="003F63A1">
        <w:rPr>
          <w:sz w:val="26"/>
          <w:szCs w:val="26"/>
          <w:lang w:val="en-GB"/>
        </w:rPr>
        <w:t>’s responses to Panel Questions 62 and 63”</w:t>
      </w:r>
      <w:r w:rsidR="004F0E1E" w:rsidRPr="003F63A1">
        <w:rPr>
          <w:sz w:val="26"/>
          <w:szCs w:val="26"/>
          <w:lang w:val="en-GB"/>
        </w:rPr>
        <w:t>.</w:t>
      </w:r>
      <w:r w:rsidR="00355C83" w:rsidRPr="003F63A1">
        <w:rPr>
          <w:rStyle w:val="af6"/>
          <w:szCs w:val="26"/>
          <w:lang w:val="en-GB"/>
        </w:rPr>
        <w:footnoteReference w:id="19"/>
      </w:r>
    </w:p>
    <w:p w14:paraId="74F5278A" w14:textId="7D043CA7" w:rsidR="00E71DFF" w:rsidRPr="003F63A1" w:rsidRDefault="004F0E1E" w:rsidP="007E2594">
      <w:pPr>
        <w:pStyle w:val="a3"/>
        <w:numPr>
          <w:ilvl w:val="0"/>
          <w:numId w:val="19"/>
        </w:numPr>
        <w:spacing w:after="120" w:line="360" w:lineRule="auto"/>
        <w:ind w:left="357" w:hanging="357"/>
        <w:rPr>
          <w:rFonts w:asciiTheme="minorHAnsi" w:eastAsiaTheme="minorEastAsia" w:hAnsiTheme="minorHAnsi" w:cstheme="minorBidi"/>
          <w:szCs w:val="26"/>
          <w:lang w:val="en-GB"/>
        </w:rPr>
      </w:pPr>
      <w:r w:rsidRPr="7A7A869F">
        <w:rPr>
          <w:lang w:val="en-GB"/>
        </w:rPr>
        <w:t xml:space="preserve">The European Union then went on to reiterate the arguments that were formulated in its Response to Question No. 66 of the First List of Questions. First, that </w:t>
      </w:r>
      <w:r w:rsidR="7A7A869F" w:rsidRPr="7A7A869F">
        <w:rPr>
          <w:lang w:val="en-GB"/>
        </w:rPr>
        <w:t>Ukraine</w:t>
      </w:r>
      <w:r w:rsidR="7A7A869F" w:rsidRPr="7A7A869F">
        <w:rPr>
          <w:color w:val="000000" w:themeColor="text1"/>
          <w:sz w:val="25"/>
          <w:szCs w:val="25"/>
          <w:lang w:val="en-GB"/>
        </w:rPr>
        <w:t>’</w:t>
      </w:r>
      <w:r w:rsidR="7A7A869F" w:rsidRPr="7A7A869F">
        <w:rPr>
          <w:lang w:val="en-GB"/>
        </w:rPr>
        <w:t>s</w:t>
      </w:r>
      <w:r w:rsidRPr="7A7A869F">
        <w:rPr>
          <w:lang w:val="en-GB"/>
        </w:rPr>
        <w:t xml:space="preserve"> invocation of Article 294 of the Association Agreement would not constitute an “exception o</w:t>
      </w:r>
      <w:r w:rsidR="00457D4B" w:rsidRPr="7A7A869F">
        <w:rPr>
          <w:lang w:val="en-GB"/>
        </w:rPr>
        <w:t>f</w:t>
      </w:r>
      <w:r w:rsidRPr="7A7A869F">
        <w:rPr>
          <w:lang w:val="en-GB"/>
        </w:rPr>
        <w:t xml:space="preserve"> affirmative defence to Article 35 </w:t>
      </w:r>
      <w:r w:rsidR="00C36A24" w:rsidRPr="7A7A869F">
        <w:rPr>
          <w:lang w:val="en-GB"/>
        </w:rPr>
        <w:t>of the Association Agreement</w:t>
      </w:r>
      <w:r w:rsidRPr="7A7A869F">
        <w:rPr>
          <w:lang w:val="en-GB"/>
        </w:rPr>
        <w:t>”, but a “countermeasure”</w:t>
      </w:r>
      <w:r w:rsidR="00457D4B" w:rsidRPr="7A7A869F">
        <w:rPr>
          <w:lang w:val="en-GB"/>
        </w:rPr>
        <w:t>:</w:t>
      </w:r>
    </w:p>
    <w:p w14:paraId="3DF91D2C" w14:textId="027B4BCC" w:rsidR="00457D4B" w:rsidRPr="003F63A1" w:rsidRDefault="00457D4B" w:rsidP="00C36A24">
      <w:pPr>
        <w:spacing w:after="120" w:line="360" w:lineRule="auto"/>
        <w:ind w:left="708" w:right="567"/>
        <w:jc w:val="both"/>
        <w:rPr>
          <w:sz w:val="26"/>
          <w:szCs w:val="26"/>
          <w:lang w:val="en-GB"/>
        </w:rPr>
      </w:pPr>
      <w:r w:rsidRPr="003F63A1">
        <w:rPr>
          <w:sz w:val="26"/>
          <w:szCs w:val="26"/>
          <w:lang w:val="en-GB"/>
        </w:rPr>
        <w:t xml:space="preserve">“Ukraine, nevertheless, does not invoke Article 294 </w:t>
      </w:r>
      <w:r w:rsidR="00E0194F">
        <w:rPr>
          <w:sz w:val="26"/>
          <w:szCs w:val="26"/>
          <w:lang w:val="en-GB"/>
        </w:rPr>
        <w:t>[</w:t>
      </w:r>
      <w:r w:rsidR="00C36A24" w:rsidRPr="003F63A1">
        <w:rPr>
          <w:sz w:val="26"/>
          <w:szCs w:val="26"/>
          <w:lang w:val="en-GB"/>
        </w:rPr>
        <w:t xml:space="preserve">of the </w:t>
      </w:r>
      <w:r w:rsidR="007A33D7" w:rsidRPr="003F63A1">
        <w:rPr>
          <w:sz w:val="26"/>
          <w:szCs w:val="26"/>
          <w:lang w:val="en-GB"/>
        </w:rPr>
        <w:t>Association Agreement</w:t>
      </w:r>
      <w:r w:rsidR="00E0194F">
        <w:rPr>
          <w:sz w:val="26"/>
          <w:szCs w:val="26"/>
          <w:lang w:val="en-GB"/>
        </w:rPr>
        <w:t>]</w:t>
      </w:r>
      <w:r w:rsidR="007A33D7" w:rsidRPr="003F63A1" w:rsidDel="007A33D7">
        <w:rPr>
          <w:sz w:val="26"/>
          <w:szCs w:val="26"/>
          <w:lang w:val="en-GB"/>
        </w:rPr>
        <w:t xml:space="preserve"> </w:t>
      </w:r>
      <w:r w:rsidRPr="003F63A1">
        <w:rPr>
          <w:sz w:val="26"/>
          <w:szCs w:val="26"/>
          <w:lang w:val="en-GB"/>
        </w:rPr>
        <w:t xml:space="preserve">as a genuine exception of affirmative defence to Article 35 </w:t>
      </w:r>
      <w:r w:rsidR="00E0194F">
        <w:rPr>
          <w:sz w:val="26"/>
          <w:szCs w:val="26"/>
          <w:lang w:val="en-GB"/>
        </w:rPr>
        <w:t>[</w:t>
      </w:r>
      <w:r w:rsidR="00C36A24" w:rsidRPr="003F63A1">
        <w:rPr>
          <w:sz w:val="26"/>
          <w:szCs w:val="26"/>
          <w:lang w:val="en-GB"/>
        </w:rPr>
        <w:t>of the Association Agreement</w:t>
      </w:r>
      <w:r w:rsidR="00E0194F">
        <w:rPr>
          <w:sz w:val="26"/>
          <w:szCs w:val="26"/>
          <w:lang w:val="en-GB"/>
        </w:rPr>
        <w:t>]</w:t>
      </w:r>
      <w:r w:rsidRPr="003F63A1">
        <w:rPr>
          <w:sz w:val="26"/>
          <w:szCs w:val="26"/>
          <w:lang w:val="en-GB"/>
        </w:rPr>
        <w:t>, i.e. as a provision that limits Ukraine’s obligations under the latter provision.</w:t>
      </w:r>
    </w:p>
    <w:p w14:paraId="1CB642CE" w14:textId="066DC02B" w:rsidR="00457D4B" w:rsidRPr="003F63A1" w:rsidRDefault="00457D4B" w:rsidP="00C36A24">
      <w:pPr>
        <w:spacing w:after="120" w:line="360" w:lineRule="auto"/>
        <w:ind w:left="708" w:right="567"/>
        <w:jc w:val="both"/>
        <w:rPr>
          <w:sz w:val="26"/>
          <w:szCs w:val="26"/>
          <w:lang w:val="en-GB"/>
        </w:rPr>
      </w:pPr>
      <w:r w:rsidRPr="003F63A1">
        <w:rPr>
          <w:sz w:val="26"/>
          <w:szCs w:val="26"/>
          <w:lang w:val="en-GB"/>
        </w:rPr>
        <w:t xml:space="preserve">Instead, Ukraine appears to arrogate itself the right to determine unilaterally that the European Union has violated Article 294 </w:t>
      </w:r>
      <w:r w:rsidR="00E0194F">
        <w:rPr>
          <w:sz w:val="26"/>
          <w:szCs w:val="26"/>
          <w:lang w:val="en-GB"/>
        </w:rPr>
        <w:t>[</w:t>
      </w:r>
      <w:r w:rsidR="00C36A24" w:rsidRPr="003F63A1">
        <w:rPr>
          <w:sz w:val="26"/>
          <w:szCs w:val="26"/>
          <w:lang w:val="en-GB"/>
        </w:rPr>
        <w:t xml:space="preserve">of the </w:t>
      </w:r>
      <w:r w:rsidR="007A33D7" w:rsidRPr="003F63A1">
        <w:rPr>
          <w:sz w:val="26"/>
          <w:szCs w:val="26"/>
          <w:lang w:val="en-GB"/>
        </w:rPr>
        <w:t>Association Agreement</w:t>
      </w:r>
      <w:r w:rsidR="00E0194F">
        <w:rPr>
          <w:sz w:val="26"/>
          <w:szCs w:val="26"/>
          <w:lang w:val="en-GB"/>
        </w:rPr>
        <w:t>]</w:t>
      </w:r>
      <w:r w:rsidR="007A33D7" w:rsidRPr="003F63A1" w:rsidDel="007A33D7">
        <w:rPr>
          <w:sz w:val="26"/>
          <w:szCs w:val="26"/>
          <w:lang w:val="en-GB"/>
        </w:rPr>
        <w:t xml:space="preserve"> </w:t>
      </w:r>
      <w:r w:rsidRPr="003F63A1">
        <w:rPr>
          <w:sz w:val="26"/>
          <w:szCs w:val="26"/>
          <w:lang w:val="en-GB"/>
        </w:rPr>
        <w:t xml:space="preserve">and, on that basis, to suspend its obligations under Article 35 </w:t>
      </w:r>
      <w:r w:rsidR="00E0194F">
        <w:rPr>
          <w:sz w:val="26"/>
          <w:szCs w:val="26"/>
          <w:lang w:val="en-GB"/>
        </w:rPr>
        <w:t>[</w:t>
      </w:r>
      <w:r w:rsidR="00C36A24" w:rsidRPr="003F63A1">
        <w:rPr>
          <w:sz w:val="26"/>
          <w:szCs w:val="26"/>
          <w:lang w:val="en-GB"/>
        </w:rPr>
        <w:t xml:space="preserve">of the </w:t>
      </w:r>
      <w:r w:rsidR="007A33D7" w:rsidRPr="003F63A1">
        <w:rPr>
          <w:sz w:val="26"/>
          <w:szCs w:val="26"/>
          <w:lang w:val="en-GB"/>
        </w:rPr>
        <w:t>Association Agreement</w:t>
      </w:r>
      <w:r w:rsidR="00E0194F">
        <w:rPr>
          <w:sz w:val="26"/>
          <w:szCs w:val="26"/>
          <w:lang w:val="en-GB"/>
        </w:rPr>
        <w:t>]</w:t>
      </w:r>
      <w:r w:rsidR="007A33D7" w:rsidRPr="003F63A1" w:rsidDel="007A33D7">
        <w:rPr>
          <w:sz w:val="26"/>
          <w:szCs w:val="26"/>
          <w:lang w:val="en-GB"/>
        </w:rPr>
        <w:t xml:space="preserve"> </w:t>
      </w:r>
      <w:r w:rsidRPr="003F63A1">
        <w:rPr>
          <w:sz w:val="26"/>
          <w:szCs w:val="26"/>
          <w:lang w:val="en-GB"/>
        </w:rPr>
        <w:t xml:space="preserve">in response to that </w:t>
      </w:r>
      <w:r w:rsidRPr="003F63A1">
        <w:rPr>
          <w:sz w:val="26"/>
          <w:szCs w:val="26"/>
          <w:lang w:val="en-GB"/>
        </w:rPr>
        <w:lastRenderedPageBreak/>
        <w:t xml:space="preserve">alleged violation. As explained by the European Union in its response to Question 66, such a unilateral determination and suspension of obligations would be in breach of Ukraine’s obligations under Article 300 </w:t>
      </w:r>
      <w:r w:rsidR="00E0194F">
        <w:rPr>
          <w:sz w:val="26"/>
          <w:szCs w:val="26"/>
          <w:lang w:val="en-GB"/>
        </w:rPr>
        <w:t>[</w:t>
      </w:r>
      <w:r w:rsidR="00C36A24" w:rsidRPr="003F63A1">
        <w:rPr>
          <w:sz w:val="26"/>
          <w:szCs w:val="26"/>
          <w:lang w:val="en-GB"/>
        </w:rPr>
        <w:t xml:space="preserve">of the </w:t>
      </w:r>
      <w:r w:rsidR="007A33D7" w:rsidRPr="003F63A1">
        <w:rPr>
          <w:sz w:val="26"/>
          <w:szCs w:val="26"/>
          <w:lang w:val="en-GB"/>
        </w:rPr>
        <w:t>Association Agreement</w:t>
      </w:r>
      <w:r w:rsidR="00E0194F">
        <w:rPr>
          <w:sz w:val="26"/>
          <w:szCs w:val="26"/>
          <w:lang w:val="en-GB"/>
        </w:rPr>
        <w:t>]</w:t>
      </w:r>
      <w:r w:rsidR="007A33D7" w:rsidRPr="003F63A1" w:rsidDel="007A33D7">
        <w:rPr>
          <w:sz w:val="26"/>
          <w:szCs w:val="26"/>
          <w:lang w:val="en-GB"/>
        </w:rPr>
        <w:t xml:space="preserve"> </w:t>
      </w:r>
      <w:r w:rsidRPr="003F63A1">
        <w:rPr>
          <w:sz w:val="26"/>
          <w:szCs w:val="26"/>
          <w:lang w:val="en-GB"/>
        </w:rPr>
        <w:t>and of the requirements of general public international law on countermeasures”.</w:t>
      </w:r>
      <w:r w:rsidR="007A33D7" w:rsidRPr="004C09D2">
        <w:rPr>
          <w:rStyle w:val="af6"/>
          <w:sz w:val="26"/>
          <w:szCs w:val="26"/>
          <w:lang w:val="en-GB"/>
        </w:rPr>
        <w:footnoteReference w:id="20"/>
      </w:r>
    </w:p>
    <w:p w14:paraId="2F2A0EE2" w14:textId="1D188E00" w:rsidR="00457D4B" w:rsidRPr="003F63A1" w:rsidRDefault="00D651D5" w:rsidP="007E2594">
      <w:pPr>
        <w:pStyle w:val="a3"/>
        <w:numPr>
          <w:ilvl w:val="0"/>
          <w:numId w:val="19"/>
        </w:numPr>
        <w:spacing w:after="120" w:line="360" w:lineRule="auto"/>
        <w:ind w:left="357" w:hanging="357"/>
        <w:rPr>
          <w:lang w:val="en-GB"/>
        </w:rPr>
      </w:pPr>
      <w:r w:rsidRPr="7A7A869F">
        <w:rPr>
          <w:lang w:val="en-GB"/>
        </w:rPr>
        <w:t>The European Union then went on to its second argument that, in any case, Ukraine’s invocation of Article 294 of the Association Agreement could only amount to a counter-claim, which would not be allowed in these proceedings and be outside the Arbitration Panel’s jurisdiction:</w:t>
      </w:r>
    </w:p>
    <w:p w14:paraId="523EC5D1" w14:textId="67B0BAF7" w:rsidR="00D651D5" w:rsidRPr="003F63A1" w:rsidRDefault="00D651D5" w:rsidP="004C09D2">
      <w:pPr>
        <w:spacing w:after="120" w:line="360" w:lineRule="auto"/>
        <w:ind w:left="708" w:right="708"/>
        <w:jc w:val="both"/>
        <w:rPr>
          <w:sz w:val="26"/>
          <w:szCs w:val="26"/>
          <w:lang w:val="en-GB"/>
        </w:rPr>
      </w:pPr>
      <w:r w:rsidRPr="003F63A1">
        <w:rPr>
          <w:sz w:val="26"/>
          <w:szCs w:val="26"/>
          <w:lang w:val="en-GB"/>
        </w:rPr>
        <w:t xml:space="preserve">“Alternatively, Ukraine’s allegation might be understood as amounting to the submission to the Panel of a “counter-claim” based on Article 294 </w:t>
      </w:r>
      <w:r w:rsidR="00E0194F">
        <w:rPr>
          <w:sz w:val="26"/>
          <w:szCs w:val="26"/>
          <w:lang w:val="en-GB"/>
        </w:rPr>
        <w:t>[</w:t>
      </w:r>
      <w:r w:rsidR="00C36A24" w:rsidRPr="003F63A1">
        <w:rPr>
          <w:sz w:val="26"/>
          <w:szCs w:val="26"/>
          <w:lang w:val="en-GB"/>
        </w:rPr>
        <w:t xml:space="preserve">of the </w:t>
      </w:r>
      <w:r w:rsidR="007A33D7" w:rsidRPr="003F63A1">
        <w:rPr>
          <w:sz w:val="26"/>
          <w:szCs w:val="26"/>
          <w:lang w:val="en-GB"/>
        </w:rPr>
        <w:t>Association Agreement</w:t>
      </w:r>
      <w:r w:rsidR="00E0194F">
        <w:rPr>
          <w:sz w:val="26"/>
          <w:szCs w:val="26"/>
          <w:lang w:val="en-GB"/>
        </w:rPr>
        <w:t>]</w:t>
      </w:r>
      <w:r w:rsidRPr="003F63A1">
        <w:rPr>
          <w:sz w:val="26"/>
          <w:szCs w:val="26"/>
          <w:lang w:val="en-GB"/>
        </w:rPr>
        <w:t xml:space="preserve">. As explained in its response to Question 66, however, Chapter 14 of the </w:t>
      </w:r>
      <w:r w:rsidR="00E0194F">
        <w:rPr>
          <w:sz w:val="26"/>
          <w:szCs w:val="26"/>
          <w:lang w:val="en-GB"/>
        </w:rPr>
        <w:t>[</w:t>
      </w:r>
      <w:r w:rsidR="007A33D7" w:rsidRPr="003F63A1">
        <w:rPr>
          <w:sz w:val="26"/>
          <w:szCs w:val="26"/>
          <w:lang w:val="en-GB"/>
        </w:rPr>
        <w:t>Association Agreement</w:t>
      </w:r>
      <w:r w:rsidR="00E0194F">
        <w:rPr>
          <w:sz w:val="26"/>
          <w:szCs w:val="26"/>
          <w:lang w:val="en-GB"/>
        </w:rPr>
        <w:t>]</w:t>
      </w:r>
      <w:r w:rsidR="007A33D7" w:rsidRPr="003F63A1" w:rsidDel="007A33D7">
        <w:rPr>
          <w:sz w:val="26"/>
          <w:szCs w:val="26"/>
          <w:lang w:val="en-GB"/>
        </w:rPr>
        <w:t xml:space="preserve"> </w:t>
      </w:r>
      <w:r w:rsidRPr="003F63A1">
        <w:rPr>
          <w:sz w:val="26"/>
          <w:szCs w:val="26"/>
          <w:lang w:val="en-GB"/>
        </w:rPr>
        <w:t xml:space="preserve">does not allow for the submission of “counter-claims” by the respondent. Moreover, a claim of violation of Article 294 </w:t>
      </w:r>
      <w:r w:rsidR="00E0194F">
        <w:rPr>
          <w:sz w:val="26"/>
          <w:szCs w:val="26"/>
          <w:lang w:val="en-GB"/>
        </w:rPr>
        <w:t>[</w:t>
      </w:r>
      <w:r w:rsidR="00C36A24" w:rsidRPr="003F63A1">
        <w:rPr>
          <w:sz w:val="26"/>
          <w:szCs w:val="26"/>
          <w:lang w:val="en-GB"/>
        </w:rPr>
        <w:t xml:space="preserve">of the </w:t>
      </w:r>
      <w:r w:rsidR="007A33D7" w:rsidRPr="003F63A1">
        <w:rPr>
          <w:sz w:val="26"/>
          <w:szCs w:val="26"/>
          <w:lang w:val="en-GB"/>
        </w:rPr>
        <w:t>Association Agreement</w:t>
      </w:r>
      <w:r w:rsidR="00E0194F">
        <w:rPr>
          <w:sz w:val="26"/>
          <w:szCs w:val="26"/>
          <w:lang w:val="en-GB"/>
        </w:rPr>
        <w:t>]</w:t>
      </w:r>
      <w:r w:rsidR="007A33D7" w:rsidRPr="003F63A1" w:rsidDel="007A33D7">
        <w:rPr>
          <w:sz w:val="26"/>
          <w:szCs w:val="26"/>
          <w:lang w:val="en-GB"/>
        </w:rPr>
        <w:t xml:space="preserve"> </w:t>
      </w:r>
      <w:r w:rsidRPr="003F63A1">
        <w:rPr>
          <w:sz w:val="26"/>
          <w:szCs w:val="26"/>
          <w:lang w:val="en-GB"/>
        </w:rPr>
        <w:t xml:space="preserve">would in any event have to be submitted under the specific dispute settlement procedures of Chapter 13 of the </w:t>
      </w:r>
      <w:r w:rsidR="00E0194F">
        <w:rPr>
          <w:sz w:val="26"/>
          <w:szCs w:val="26"/>
          <w:lang w:val="en-GB"/>
        </w:rPr>
        <w:t>[</w:t>
      </w:r>
      <w:r w:rsidR="007A33D7" w:rsidRPr="003F63A1">
        <w:rPr>
          <w:sz w:val="26"/>
          <w:szCs w:val="26"/>
          <w:lang w:val="en-GB"/>
        </w:rPr>
        <w:t>Association Agreement</w:t>
      </w:r>
      <w:r w:rsidR="00E0194F">
        <w:rPr>
          <w:sz w:val="26"/>
          <w:szCs w:val="26"/>
          <w:lang w:val="en-GB"/>
        </w:rPr>
        <w:t>]</w:t>
      </w:r>
      <w:r w:rsidRPr="003F63A1">
        <w:rPr>
          <w:sz w:val="26"/>
          <w:szCs w:val="26"/>
          <w:lang w:val="en-GB"/>
        </w:rPr>
        <w:t>. For those reasons, the claim in question would be clearly outside the Panel’s jurisdiction.”</w:t>
      </w:r>
      <w:r w:rsidR="00355C83" w:rsidRPr="003F63A1">
        <w:rPr>
          <w:rStyle w:val="af6"/>
          <w:szCs w:val="26"/>
          <w:lang w:val="en-GB"/>
        </w:rPr>
        <w:footnoteReference w:id="21"/>
      </w:r>
    </w:p>
    <w:p w14:paraId="532239F4" w14:textId="4306D9C3" w:rsidR="00D651D5" w:rsidRPr="003F63A1" w:rsidRDefault="00ED2D82" w:rsidP="007E2594">
      <w:pPr>
        <w:pStyle w:val="a3"/>
        <w:numPr>
          <w:ilvl w:val="0"/>
          <w:numId w:val="19"/>
        </w:numPr>
        <w:spacing w:after="120" w:line="360" w:lineRule="auto"/>
        <w:rPr>
          <w:lang w:val="en-GB"/>
        </w:rPr>
      </w:pPr>
      <w:r w:rsidRPr="7A7A869F">
        <w:rPr>
          <w:lang w:val="en-GB"/>
        </w:rPr>
        <w:t xml:space="preserve">The following </w:t>
      </w:r>
      <w:r w:rsidR="00D651D5" w:rsidRPr="7A7A869F">
        <w:rPr>
          <w:lang w:val="en-GB"/>
        </w:rPr>
        <w:t xml:space="preserve">conclusions </w:t>
      </w:r>
      <w:r w:rsidRPr="7A7A869F">
        <w:rPr>
          <w:lang w:val="en-GB"/>
        </w:rPr>
        <w:t xml:space="preserve">can be made </w:t>
      </w:r>
      <w:r w:rsidR="00D651D5" w:rsidRPr="7A7A869F">
        <w:rPr>
          <w:lang w:val="en-GB"/>
        </w:rPr>
        <w:t>from the</w:t>
      </w:r>
      <w:r w:rsidRPr="7A7A869F">
        <w:rPr>
          <w:lang w:val="en-GB"/>
        </w:rPr>
        <w:t xml:space="preserve"> above </w:t>
      </w:r>
      <w:r w:rsidR="00D651D5" w:rsidRPr="7A7A869F">
        <w:rPr>
          <w:lang w:val="en-GB"/>
        </w:rPr>
        <w:t>developments</w:t>
      </w:r>
      <w:r w:rsidRPr="7A7A869F">
        <w:rPr>
          <w:lang w:val="en-GB"/>
        </w:rPr>
        <w:t>.</w:t>
      </w:r>
    </w:p>
    <w:p w14:paraId="6DE81759" w14:textId="11B2B8B8" w:rsidR="00B1509C" w:rsidRPr="003F63A1" w:rsidRDefault="00D651D5" w:rsidP="007E2594">
      <w:pPr>
        <w:pStyle w:val="a3"/>
        <w:numPr>
          <w:ilvl w:val="0"/>
          <w:numId w:val="19"/>
        </w:numPr>
        <w:spacing w:after="120" w:line="360" w:lineRule="auto"/>
        <w:rPr>
          <w:lang w:val="en-GB"/>
        </w:rPr>
      </w:pPr>
      <w:r w:rsidRPr="7A7A869F">
        <w:rPr>
          <w:lang w:val="en-GB"/>
        </w:rPr>
        <w:t xml:space="preserve">First, the issue regarding the jurisdiction of the </w:t>
      </w:r>
      <w:r w:rsidR="00ED2D82" w:rsidRPr="7A7A869F">
        <w:rPr>
          <w:lang w:val="en-GB"/>
        </w:rPr>
        <w:t xml:space="preserve">Arbitration </w:t>
      </w:r>
      <w:r w:rsidRPr="7A7A869F">
        <w:rPr>
          <w:lang w:val="en-GB"/>
        </w:rPr>
        <w:t>Panel to hear Ukraine’s argument</w:t>
      </w:r>
      <w:r w:rsidR="00B1509C" w:rsidRPr="7A7A869F">
        <w:rPr>
          <w:lang w:val="en-GB"/>
        </w:rPr>
        <w:t>s</w:t>
      </w:r>
      <w:r w:rsidRPr="7A7A869F">
        <w:rPr>
          <w:lang w:val="en-GB"/>
        </w:rPr>
        <w:t xml:space="preserve"> on Chapter 13’s articles </w:t>
      </w:r>
      <w:r w:rsidR="00ED2D82" w:rsidRPr="7A7A869F">
        <w:rPr>
          <w:lang w:val="en-GB"/>
        </w:rPr>
        <w:t xml:space="preserve">of the Association Agreement </w:t>
      </w:r>
      <w:r w:rsidRPr="7A7A869F">
        <w:rPr>
          <w:lang w:val="en-GB"/>
        </w:rPr>
        <w:t>has be</w:t>
      </w:r>
      <w:r w:rsidR="00ED2D82" w:rsidRPr="7A7A869F">
        <w:rPr>
          <w:lang w:val="en-GB"/>
        </w:rPr>
        <w:t>en</w:t>
      </w:r>
      <w:r w:rsidRPr="7A7A869F">
        <w:rPr>
          <w:lang w:val="en-GB"/>
        </w:rPr>
        <w:t xml:space="preserve"> discussed to some extent between the Parties in their written pleadings</w:t>
      </w:r>
      <w:r w:rsidR="00ED2D82" w:rsidRPr="7A7A869F">
        <w:rPr>
          <w:lang w:val="en-GB"/>
        </w:rPr>
        <w:t xml:space="preserve">. </w:t>
      </w:r>
      <w:r w:rsidR="00B1509C" w:rsidRPr="7A7A869F">
        <w:rPr>
          <w:lang w:val="en-GB"/>
        </w:rPr>
        <w:t>Therefore, it is in Ukraine’s view that its submissions on jurisdiction were not unexpected and late.</w:t>
      </w:r>
    </w:p>
    <w:p w14:paraId="0FB0BD7F" w14:textId="2C956E73" w:rsidR="00D651D5" w:rsidRPr="003F63A1" w:rsidRDefault="00D651D5" w:rsidP="007E2594">
      <w:pPr>
        <w:pStyle w:val="a3"/>
        <w:numPr>
          <w:ilvl w:val="0"/>
          <w:numId w:val="19"/>
        </w:numPr>
        <w:spacing w:after="120" w:line="360" w:lineRule="auto"/>
        <w:rPr>
          <w:lang w:val="en-GB"/>
        </w:rPr>
      </w:pPr>
      <w:r w:rsidRPr="7A7A869F">
        <w:rPr>
          <w:lang w:val="en-GB"/>
        </w:rPr>
        <w:t xml:space="preserve">Second, the European Union concurs with Ukraine that the Panel has no jurisdiction to entertain claims based on </w:t>
      </w:r>
      <w:r w:rsidR="00E56B41" w:rsidRPr="7A7A869F">
        <w:rPr>
          <w:lang w:val="en-GB"/>
        </w:rPr>
        <w:t xml:space="preserve">the </w:t>
      </w:r>
      <w:r w:rsidRPr="7A7A869F">
        <w:rPr>
          <w:lang w:val="en-GB"/>
        </w:rPr>
        <w:t xml:space="preserve">articles of Chapter 13 </w:t>
      </w:r>
      <w:r w:rsidR="00E56B41" w:rsidRPr="7A7A869F">
        <w:rPr>
          <w:lang w:val="en-GB"/>
        </w:rPr>
        <w:t xml:space="preserve">of the </w:t>
      </w:r>
      <w:r w:rsidR="00E56B41" w:rsidRPr="7A7A869F">
        <w:rPr>
          <w:lang w:val="en-GB"/>
        </w:rPr>
        <w:lastRenderedPageBreak/>
        <w:t xml:space="preserve">Association Agreement </w:t>
      </w:r>
      <w:r w:rsidRPr="7A7A869F">
        <w:rPr>
          <w:lang w:val="en-GB"/>
        </w:rPr>
        <w:t xml:space="preserve">(the </w:t>
      </w:r>
      <w:r w:rsidR="003F63A1" w:rsidRPr="7A7A869F">
        <w:rPr>
          <w:lang w:val="en-GB"/>
        </w:rPr>
        <w:t>European Union</w:t>
      </w:r>
      <w:r w:rsidRPr="7A7A869F">
        <w:rPr>
          <w:lang w:val="en-GB"/>
        </w:rPr>
        <w:t xml:space="preserve"> only deals with </w:t>
      </w:r>
      <w:r w:rsidR="00E56B41" w:rsidRPr="7A7A869F">
        <w:rPr>
          <w:lang w:val="en-GB"/>
        </w:rPr>
        <w:t>A</w:t>
      </w:r>
      <w:r w:rsidRPr="7A7A869F">
        <w:rPr>
          <w:lang w:val="en-GB"/>
        </w:rPr>
        <w:t>rt</w:t>
      </w:r>
      <w:r w:rsidR="00E56B41" w:rsidRPr="7A7A869F">
        <w:rPr>
          <w:lang w:val="en-GB"/>
        </w:rPr>
        <w:t xml:space="preserve">icle </w:t>
      </w:r>
      <w:r w:rsidRPr="7A7A869F">
        <w:rPr>
          <w:lang w:val="en-GB"/>
        </w:rPr>
        <w:t>294</w:t>
      </w:r>
      <w:r w:rsidR="00E56B41" w:rsidRPr="7A7A869F">
        <w:rPr>
          <w:lang w:val="en-GB"/>
        </w:rPr>
        <w:t xml:space="preserve"> of Association Agreement</w:t>
      </w:r>
      <w:r w:rsidRPr="7A7A869F">
        <w:rPr>
          <w:lang w:val="en-GB"/>
        </w:rPr>
        <w:t xml:space="preserve">, but there is no reason to differentiate this </w:t>
      </w:r>
      <w:r w:rsidR="00FF0695" w:rsidRPr="7A7A869F">
        <w:rPr>
          <w:lang w:val="en-GB"/>
        </w:rPr>
        <w:t>A</w:t>
      </w:r>
      <w:r w:rsidRPr="7A7A869F">
        <w:rPr>
          <w:lang w:val="en-GB"/>
        </w:rPr>
        <w:t>rticle from the other ones advanced by Ukraine in support of its claims).</w:t>
      </w:r>
    </w:p>
    <w:p w14:paraId="0A627879" w14:textId="3CB63707" w:rsidR="00D651D5" w:rsidRPr="003F63A1" w:rsidRDefault="00D651D5" w:rsidP="007E2594">
      <w:pPr>
        <w:pStyle w:val="a3"/>
        <w:numPr>
          <w:ilvl w:val="0"/>
          <w:numId w:val="19"/>
        </w:numPr>
        <w:spacing w:after="120" w:line="360" w:lineRule="auto"/>
        <w:rPr>
          <w:lang w:val="en-GB"/>
        </w:rPr>
      </w:pPr>
      <w:r w:rsidRPr="7A7A869F">
        <w:rPr>
          <w:lang w:val="en-GB"/>
        </w:rPr>
        <w:t xml:space="preserve">Third, the only argument raised by the European Union to avoid this jurisdiction issue rests on the qualification of </w:t>
      </w:r>
      <w:r w:rsidR="518C1B22" w:rsidRPr="7A7A869F">
        <w:rPr>
          <w:lang w:val="en-GB"/>
        </w:rPr>
        <w:t>Ukraine’s</w:t>
      </w:r>
      <w:r w:rsidRPr="7A7A869F">
        <w:rPr>
          <w:lang w:val="en-GB"/>
        </w:rPr>
        <w:t xml:space="preserve"> claims as a “countermeasure” or </w:t>
      </w:r>
      <w:r w:rsidR="00E56B41" w:rsidRPr="7A7A869F">
        <w:rPr>
          <w:lang w:val="en-GB"/>
        </w:rPr>
        <w:t xml:space="preserve">a </w:t>
      </w:r>
      <w:r w:rsidRPr="7A7A869F">
        <w:rPr>
          <w:lang w:val="en-GB"/>
        </w:rPr>
        <w:t>“counter</w:t>
      </w:r>
      <w:r w:rsidR="00E56B41" w:rsidRPr="7A7A869F">
        <w:rPr>
          <w:lang w:val="en-GB"/>
        </w:rPr>
        <w:t>-</w:t>
      </w:r>
      <w:r w:rsidRPr="7A7A869F">
        <w:rPr>
          <w:lang w:val="en-GB"/>
        </w:rPr>
        <w:t xml:space="preserve">claim” and the </w:t>
      </w:r>
      <w:r w:rsidR="00E56B41" w:rsidRPr="7A7A869F">
        <w:rPr>
          <w:lang w:val="en-GB"/>
        </w:rPr>
        <w:t>European Union</w:t>
      </w:r>
      <w:r w:rsidRPr="7A7A869F">
        <w:rPr>
          <w:lang w:val="en-GB"/>
        </w:rPr>
        <w:t xml:space="preserve">’s interpretation of the </w:t>
      </w:r>
      <w:r w:rsidR="518C1B22" w:rsidRPr="7A7A869F">
        <w:rPr>
          <w:lang w:val="en-GB"/>
        </w:rPr>
        <w:t xml:space="preserve">dispute </w:t>
      </w:r>
      <w:r w:rsidRPr="7A7A869F">
        <w:rPr>
          <w:lang w:val="en-GB"/>
        </w:rPr>
        <w:t xml:space="preserve">settlement procedure of </w:t>
      </w:r>
      <w:r w:rsidR="00E56B41" w:rsidRPr="7A7A869F">
        <w:rPr>
          <w:lang w:val="en-GB"/>
        </w:rPr>
        <w:t>A</w:t>
      </w:r>
      <w:r w:rsidRPr="7A7A869F">
        <w:rPr>
          <w:lang w:val="en-GB"/>
        </w:rPr>
        <w:t>rticle 304</w:t>
      </w:r>
      <w:r w:rsidR="00E56B41" w:rsidRPr="7A7A869F">
        <w:rPr>
          <w:lang w:val="en-GB"/>
        </w:rPr>
        <w:t xml:space="preserve"> of Chapter 14 of the Association Agreement</w:t>
      </w:r>
      <w:r w:rsidRPr="7A7A869F">
        <w:rPr>
          <w:lang w:val="en-GB"/>
        </w:rPr>
        <w:t>.</w:t>
      </w:r>
    </w:p>
    <w:p w14:paraId="1AD9760F" w14:textId="3C7CC0B6" w:rsidR="00FA59F2" w:rsidRPr="003F63A1" w:rsidRDefault="00FA59F2" w:rsidP="00FA59F2">
      <w:pPr>
        <w:pStyle w:val="3"/>
        <w:rPr>
          <w:rFonts w:cs="Times New Roman"/>
          <w:szCs w:val="26"/>
          <w:lang w:val="en-GB"/>
        </w:rPr>
      </w:pPr>
      <w:bookmarkStart w:id="23" w:name="_Toc52886569"/>
      <w:bookmarkStart w:id="24" w:name="_Toc52896874"/>
      <w:r w:rsidRPr="003F63A1">
        <w:rPr>
          <w:rFonts w:cs="Times New Roman"/>
          <w:szCs w:val="26"/>
          <w:lang w:val="en-GB"/>
        </w:rPr>
        <w:t>B – The merits of the jurisdictional/</w:t>
      </w:r>
      <w:r w:rsidRPr="00A6095A">
        <w:rPr>
          <w:lang w:val="en-GB"/>
        </w:rPr>
        <w:t>admissibility</w:t>
      </w:r>
      <w:r w:rsidRPr="003F63A1">
        <w:rPr>
          <w:rFonts w:cs="Times New Roman"/>
          <w:szCs w:val="26"/>
          <w:lang w:val="en-GB"/>
        </w:rPr>
        <w:t xml:space="preserve"> objection</w:t>
      </w:r>
      <w:bookmarkEnd w:id="23"/>
      <w:bookmarkEnd w:id="24"/>
    </w:p>
    <w:p w14:paraId="57C16C61" w14:textId="3AC734F6" w:rsidR="00FE4D8D" w:rsidRPr="003F63A1" w:rsidRDefault="00FA59F2" w:rsidP="007E2594">
      <w:pPr>
        <w:pStyle w:val="a3"/>
        <w:numPr>
          <w:ilvl w:val="0"/>
          <w:numId w:val="19"/>
        </w:numPr>
        <w:spacing w:after="120" w:line="360" w:lineRule="auto"/>
        <w:rPr>
          <w:lang w:val="en-GB"/>
        </w:rPr>
      </w:pPr>
      <w:r w:rsidRPr="7A7A869F">
        <w:rPr>
          <w:lang w:val="en-GB"/>
        </w:rPr>
        <w:t>Ukraine has clearly explained why it appears that th</w:t>
      </w:r>
      <w:r w:rsidR="00561D14" w:rsidRPr="7A7A869F">
        <w:rPr>
          <w:lang w:val="en-GB"/>
        </w:rPr>
        <w:t xml:space="preserve">is case </w:t>
      </w:r>
      <w:r w:rsidRPr="7A7A869F">
        <w:rPr>
          <w:lang w:val="en-GB"/>
        </w:rPr>
        <w:t>is plainly a Chapter 13 dispute and that its resolution can only be addressed under Chapter 13 proceedings.</w:t>
      </w:r>
      <w:r w:rsidR="00D41015" w:rsidRPr="7A7A869F">
        <w:rPr>
          <w:rStyle w:val="af6"/>
          <w:lang w:val="en-GB"/>
        </w:rPr>
        <w:footnoteReference w:id="22"/>
      </w:r>
    </w:p>
    <w:p w14:paraId="31ABF306" w14:textId="798C696A" w:rsidR="0074238E" w:rsidRPr="003F63A1" w:rsidRDefault="0074238E" w:rsidP="007E2594">
      <w:pPr>
        <w:pStyle w:val="a3"/>
        <w:numPr>
          <w:ilvl w:val="0"/>
          <w:numId w:val="19"/>
        </w:numPr>
        <w:spacing w:after="120" w:line="360" w:lineRule="auto"/>
        <w:rPr>
          <w:lang w:val="en-GB"/>
        </w:rPr>
      </w:pPr>
      <w:r w:rsidRPr="7A7A869F">
        <w:rPr>
          <w:lang w:val="en-GB"/>
        </w:rPr>
        <w:t xml:space="preserve">The </w:t>
      </w:r>
      <w:bookmarkStart w:id="25" w:name="_Hlk52466908"/>
      <w:r w:rsidRPr="7A7A869F">
        <w:rPr>
          <w:lang w:val="en-GB"/>
        </w:rPr>
        <w:t xml:space="preserve">European Union </w:t>
      </w:r>
      <w:bookmarkEnd w:id="25"/>
      <w:r w:rsidRPr="7A7A869F">
        <w:rPr>
          <w:lang w:val="en-GB"/>
        </w:rPr>
        <w:t xml:space="preserve">will probably claim, among other things, that this is not a Chapter 13 dispute because </w:t>
      </w:r>
      <w:r w:rsidR="00393E57" w:rsidRPr="7A7A869F">
        <w:rPr>
          <w:lang w:val="en-GB"/>
        </w:rPr>
        <w:t xml:space="preserve">the European Union </w:t>
      </w:r>
      <w:r w:rsidRPr="7A7A869F">
        <w:rPr>
          <w:lang w:val="en-GB"/>
        </w:rPr>
        <w:t>framed its request without reference to Chapter 13 of the Association Agreement.</w:t>
      </w:r>
    </w:p>
    <w:p w14:paraId="7619C0AF" w14:textId="76306C91" w:rsidR="0074238E" w:rsidRPr="003F63A1" w:rsidRDefault="00393E57" w:rsidP="007E2594">
      <w:pPr>
        <w:pStyle w:val="a3"/>
        <w:numPr>
          <w:ilvl w:val="0"/>
          <w:numId w:val="19"/>
        </w:numPr>
        <w:spacing w:after="120" w:line="360" w:lineRule="auto"/>
        <w:rPr>
          <w:lang w:val="en-GB"/>
        </w:rPr>
      </w:pPr>
      <w:r w:rsidRPr="7A7A869F">
        <w:rPr>
          <w:lang w:val="en-GB"/>
        </w:rPr>
        <w:t>For its part,</w:t>
      </w:r>
      <w:r w:rsidR="0074238E" w:rsidRPr="7A7A869F">
        <w:rPr>
          <w:lang w:val="en-GB"/>
        </w:rPr>
        <w:t xml:space="preserve"> Ukraine </w:t>
      </w:r>
      <w:r w:rsidRPr="7A7A869F">
        <w:rPr>
          <w:lang w:val="en-GB"/>
        </w:rPr>
        <w:t xml:space="preserve">submits </w:t>
      </w:r>
      <w:r w:rsidR="0074238E" w:rsidRPr="7A7A869F">
        <w:rPr>
          <w:lang w:val="en-GB"/>
        </w:rPr>
        <w:t>that the Arbitration Panel will have to address three questions</w:t>
      </w:r>
      <w:r w:rsidR="005B5642" w:rsidRPr="7A7A869F">
        <w:rPr>
          <w:lang w:val="en-US"/>
        </w:rPr>
        <w:t>:</w:t>
      </w:r>
    </w:p>
    <w:p w14:paraId="6DDF373E" w14:textId="2B1C6C55" w:rsidR="0074238E" w:rsidRPr="003F63A1" w:rsidRDefault="008B4DED" w:rsidP="0074238E">
      <w:pPr>
        <w:pStyle w:val="a3"/>
        <w:numPr>
          <w:ilvl w:val="1"/>
          <w:numId w:val="19"/>
        </w:numPr>
        <w:spacing w:after="120" w:line="360" w:lineRule="auto"/>
        <w:rPr>
          <w:lang w:val="en-GB"/>
        </w:rPr>
      </w:pPr>
      <w:r w:rsidRPr="7A7A869F">
        <w:rPr>
          <w:lang w:val="en-GB"/>
        </w:rPr>
        <w:t>F</w:t>
      </w:r>
      <w:r w:rsidR="0074238E" w:rsidRPr="7A7A869F">
        <w:rPr>
          <w:lang w:val="en-GB"/>
        </w:rPr>
        <w:t xml:space="preserve">irst, is the Arbitration Panel itself empowered to decide </w:t>
      </w:r>
      <w:r w:rsidR="006D5261" w:rsidRPr="7A7A869F">
        <w:rPr>
          <w:lang w:val="en-GB"/>
        </w:rPr>
        <w:t xml:space="preserve">whether </w:t>
      </w:r>
      <w:r w:rsidR="0074238E" w:rsidRPr="7A7A869F">
        <w:rPr>
          <w:lang w:val="en-GB"/>
        </w:rPr>
        <w:t>the matter arises under Chapter 13</w:t>
      </w:r>
      <w:r w:rsidR="006D5261" w:rsidRPr="7A7A869F">
        <w:rPr>
          <w:lang w:val="en-GB"/>
        </w:rPr>
        <w:t xml:space="preserve"> of the Association Agreement or not</w:t>
      </w:r>
      <w:r w:rsidR="0074238E" w:rsidRPr="7A7A869F">
        <w:rPr>
          <w:lang w:val="en-GB"/>
        </w:rPr>
        <w:t>?</w:t>
      </w:r>
    </w:p>
    <w:p w14:paraId="3847948D" w14:textId="42F337FA" w:rsidR="0074238E" w:rsidRPr="003F63A1" w:rsidRDefault="008B4DED" w:rsidP="0074238E">
      <w:pPr>
        <w:pStyle w:val="a3"/>
        <w:numPr>
          <w:ilvl w:val="1"/>
          <w:numId w:val="19"/>
        </w:numPr>
        <w:spacing w:after="120" w:line="360" w:lineRule="auto"/>
        <w:rPr>
          <w:lang w:val="en-GB"/>
        </w:rPr>
      </w:pPr>
      <w:r w:rsidRPr="7A7A869F">
        <w:rPr>
          <w:lang w:val="en-GB"/>
        </w:rPr>
        <w:t>S</w:t>
      </w:r>
      <w:r w:rsidR="0074238E" w:rsidRPr="7A7A869F">
        <w:rPr>
          <w:lang w:val="en-GB"/>
        </w:rPr>
        <w:t xml:space="preserve">econd, is the matter before </w:t>
      </w:r>
      <w:r w:rsidR="00F22765" w:rsidRPr="7A7A869F">
        <w:rPr>
          <w:lang w:val="en-GB"/>
        </w:rPr>
        <w:t xml:space="preserve">this </w:t>
      </w:r>
      <w:r w:rsidR="0074238E" w:rsidRPr="7A7A869F">
        <w:rPr>
          <w:lang w:val="en-GB"/>
        </w:rPr>
        <w:t xml:space="preserve">Arbitration Panel a matter </w:t>
      </w:r>
      <w:r w:rsidR="00F22765" w:rsidRPr="7A7A869F">
        <w:rPr>
          <w:lang w:val="en-GB"/>
        </w:rPr>
        <w:t xml:space="preserve">that </w:t>
      </w:r>
      <w:r w:rsidR="002C555F" w:rsidRPr="7A7A869F">
        <w:rPr>
          <w:lang w:val="en-GB"/>
        </w:rPr>
        <w:t xml:space="preserve">has </w:t>
      </w:r>
      <w:r w:rsidR="0074238E" w:rsidRPr="7A7A869F">
        <w:rPr>
          <w:lang w:val="en-GB"/>
        </w:rPr>
        <w:t>arisen under Chapter 13</w:t>
      </w:r>
      <w:r w:rsidR="00C36A24" w:rsidRPr="7A7A869F">
        <w:rPr>
          <w:lang w:val="en-GB"/>
        </w:rPr>
        <w:t xml:space="preserve"> of the Association Agreement</w:t>
      </w:r>
      <w:r w:rsidR="002C555F" w:rsidRPr="7A7A869F">
        <w:rPr>
          <w:lang w:val="en-GB"/>
        </w:rPr>
        <w:t>?</w:t>
      </w:r>
      <w:r w:rsidR="0074238E" w:rsidRPr="7A7A869F">
        <w:rPr>
          <w:lang w:val="en-GB"/>
        </w:rPr>
        <w:t xml:space="preserve"> and</w:t>
      </w:r>
    </w:p>
    <w:p w14:paraId="27FA4197" w14:textId="2E2E30F6" w:rsidR="0074238E" w:rsidRPr="003F63A1" w:rsidRDefault="008B4DED" w:rsidP="0074238E">
      <w:pPr>
        <w:pStyle w:val="a3"/>
        <w:numPr>
          <w:ilvl w:val="1"/>
          <w:numId w:val="19"/>
        </w:numPr>
        <w:spacing w:after="120" w:line="360" w:lineRule="auto"/>
        <w:rPr>
          <w:lang w:val="en-GB"/>
        </w:rPr>
      </w:pPr>
      <w:r w:rsidRPr="7A7A869F">
        <w:rPr>
          <w:lang w:val="en-GB"/>
        </w:rPr>
        <w:t>T</w:t>
      </w:r>
      <w:r w:rsidR="006D5261" w:rsidRPr="7A7A869F">
        <w:rPr>
          <w:lang w:val="en-GB"/>
        </w:rPr>
        <w:t xml:space="preserve">hird, if the matter is both a matter arisen under Chapter 13 and </w:t>
      </w:r>
      <w:r w:rsidR="00991A2C" w:rsidRPr="7A7A869F">
        <w:rPr>
          <w:lang w:val="en-GB"/>
        </w:rPr>
        <w:t>a</w:t>
      </w:r>
      <w:r w:rsidR="006D5261" w:rsidRPr="7A7A869F">
        <w:rPr>
          <w:lang w:val="en-GB"/>
        </w:rPr>
        <w:t xml:space="preserve"> dispute on the interpretation or application of Article 35</w:t>
      </w:r>
      <w:r w:rsidR="00C36A24" w:rsidRPr="7A7A869F">
        <w:rPr>
          <w:lang w:val="en-GB"/>
        </w:rPr>
        <w:t xml:space="preserve"> of the Association Agreement</w:t>
      </w:r>
      <w:r w:rsidR="006D5261" w:rsidRPr="7A7A869F">
        <w:rPr>
          <w:lang w:val="en-GB"/>
        </w:rPr>
        <w:t xml:space="preserve">, which </w:t>
      </w:r>
      <w:r w:rsidR="002C555F" w:rsidRPr="7A7A869F">
        <w:rPr>
          <w:lang w:val="en-GB"/>
        </w:rPr>
        <w:t xml:space="preserve">adjudicative </w:t>
      </w:r>
      <w:r w:rsidR="006D5261" w:rsidRPr="7A7A869F">
        <w:rPr>
          <w:lang w:val="en-GB"/>
        </w:rPr>
        <w:t>body has jurisdiction?</w:t>
      </w:r>
    </w:p>
    <w:p w14:paraId="3919DD3B" w14:textId="3E54100A" w:rsidR="002C555F" w:rsidRPr="003F63A1" w:rsidRDefault="002C555F" w:rsidP="002C555F">
      <w:pPr>
        <w:pStyle w:val="a3"/>
        <w:numPr>
          <w:ilvl w:val="0"/>
          <w:numId w:val="19"/>
        </w:numPr>
        <w:spacing w:after="120" w:line="360" w:lineRule="auto"/>
        <w:rPr>
          <w:lang w:val="en-GB"/>
        </w:rPr>
      </w:pPr>
      <w:r w:rsidRPr="7A7A869F">
        <w:rPr>
          <w:lang w:val="en-GB"/>
        </w:rPr>
        <w:t>Ukraine will address these three questions in turn.</w:t>
      </w:r>
    </w:p>
    <w:p w14:paraId="39F815EB" w14:textId="41B74AA9" w:rsidR="002C555F" w:rsidRPr="003F63A1" w:rsidRDefault="002C555F" w:rsidP="00A6095A">
      <w:pPr>
        <w:pStyle w:val="4"/>
        <w:jc w:val="both"/>
        <w:rPr>
          <w:rFonts w:cs="Times New Roman"/>
          <w:szCs w:val="26"/>
          <w:lang w:val="en-GB"/>
        </w:rPr>
      </w:pPr>
      <w:bookmarkStart w:id="26" w:name="_Toc52886570"/>
      <w:bookmarkStart w:id="27" w:name="_Toc52896875"/>
      <w:r w:rsidRPr="003F63A1">
        <w:rPr>
          <w:rFonts w:cs="Times New Roman"/>
          <w:szCs w:val="26"/>
          <w:lang w:val="en-GB"/>
        </w:rPr>
        <w:lastRenderedPageBreak/>
        <w:t>Is the Arbitration Panel empowered to decide that the dispute is or is not a matter arising under Chapter 13</w:t>
      </w:r>
      <w:r w:rsidR="00C36A24" w:rsidRPr="003F63A1">
        <w:rPr>
          <w:rFonts w:cs="Times New Roman"/>
          <w:szCs w:val="26"/>
          <w:lang w:val="en-GB"/>
        </w:rPr>
        <w:t xml:space="preserve"> of the Association Agreement</w:t>
      </w:r>
      <w:r w:rsidRPr="003F63A1">
        <w:rPr>
          <w:rFonts w:cs="Times New Roman"/>
          <w:szCs w:val="26"/>
          <w:lang w:val="en-GB"/>
        </w:rPr>
        <w:t>?</w:t>
      </w:r>
      <w:bookmarkEnd w:id="26"/>
      <w:bookmarkEnd w:id="27"/>
    </w:p>
    <w:p w14:paraId="5659CE0A" w14:textId="0747A4F3" w:rsidR="002C555F" w:rsidRPr="003F63A1" w:rsidRDefault="009F36DC" w:rsidP="002C555F">
      <w:pPr>
        <w:pStyle w:val="a3"/>
        <w:numPr>
          <w:ilvl w:val="0"/>
          <w:numId w:val="19"/>
        </w:numPr>
        <w:spacing w:after="120" w:line="360" w:lineRule="auto"/>
        <w:rPr>
          <w:lang w:val="en-GB"/>
        </w:rPr>
      </w:pPr>
      <w:r w:rsidRPr="7A7A869F">
        <w:rPr>
          <w:lang w:val="en-GB"/>
        </w:rPr>
        <w:t>There is of course not a single doubt that the Arbitration Panel is competent to decide upon its competence (</w:t>
      </w:r>
      <w:r w:rsidRPr="7A7A869F">
        <w:rPr>
          <w:i/>
          <w:lang w:val="en-GB"/>
        </w:rPr>
        <w:t>kompetenz-kompetenz</w:t>
      </w:r>
      <w:r w:rsidRPr="7A7A869F">
        <w:rPr>
          <w:lang w:val="en-GB"/>
        </w:rPr>
        <w:t xml:space="preserve">). This basic principle means that no Party can unilaterally decide that the panel has or has no jurisdiction: only the Panel can decide on this point. Therefore, the mere assertion by Ukraine that the matter before the Arbitration Panel arises under Chapter 13 </w:t>
      </w:r>
      <w:r w:rsidR="000E5009" w:rsidRPr="7A7A869F">
        <w:rPr>
          <w:lang w:val="en-GB"/>
        </w:rPr>
        <w:t xml:space="preserve">of the Association Agreement </w:t>
      </w:r>
      <w:r w:rsidRPr="7A7A869F">
        <w:rPr>
          <w:lang w:val="en-GB"/>
        </w:rPr>
        <w:t xml:space="preserve">is insufficient: the Panel must ascertain whether it is correct or incorrect that the matter before it arises under Chapter 13 of the </w:t>
      </w:r>
      <w:r w:rsidR="00E11370" w:rsidRPr="7A7A869F">
        <w:rPr>
          <w:lang w:val="en-GB"/>
        </w:rPr>
        <w:t xml:space="preserve">Association </w:t>
      </w:r>
      <w:r w:rsidRPr="7A7A869F">
        <w:rPr>
          <w:lang w:val="en-GB"/>
        </w:rPr>
        <w:t>Agreement.</w:t>
      </w:r>
    </w:p>
    <w:p w14:paraId="22682A52" w14:textId="04E5C138" w:rsidR="009F36DC" w:rsidRPr="003F63A1" w:rsidRDefault="009F36DC" w:rsidP="002C555F">
      <w:pPr>
        <w:pStyle w:val="a3"/>
        <w:numPr>
          <w:ilvl w:val="0"/>
          <w:numId w:val="19"/>
        </w:numPr>
        <w:spacing w:after="120" w:line="360" w:lineRule="auto"/>
        <w:rPr>
          <w:lang w:val="en-GB"/>
        </w:rPr>
      </w:pPr>
      <w:r w:rsidRPr="7A7A869F">
        <w:rPr>
          <w:lang w:val="en-GB"/>
        </w:rPr>
        <w:t xml:space="preserve">Yet, a decision of the Arbitration Panel on such point, </w:t>
      </w:r>
      <w:r w:rsidR="00CE4EC0" w:rsidRPr="7A7A869F">
        <w:rPr>
          <w:lang w:val="en-GB"/>
        </w:rPr>
        <w:t xml:space="preserve">if </w:t>
      </w:r>
      <w:r w:rsidRPr="7A7A869F">
        <w:rPr>
          <w:lang w:val="en-GB"/>
        </w:rPr>
        <w:t xml:space="preserve">adopted without any coordination with the </w:t>
      </w:r>
      <w:r w:rsidR="000E5009" w:rsidRPr="7A7A869F">
        <w:rPr>
          <w:lang w:val="en-GB"/>
        </w:rPr>
        <w:t>T</w:t>
      </w:r>
      <w:r w:rsidRPr="7A7A869F">
        <w:rPr>
          <w:lang w:val="en-GB"/>
        </w:rPr>
        <w:t xml:space="preserve">rade and Sustainable Development Sub-Committee, can hardly be definitive. Indeed, if the Arbitration Panel is competent to decide upon its own competence, by contrast, it is not competent to decide upon the competence of the </w:t>
      </w:r>
      <w:r w:rsidRPr="7A7A869F">
        <w:rPr>
          <w:lang w:val="en-US"/>
        </w:rPr>
        <w:t xml:space="preserve">Trade and Sustainable Development Sub-Committee. Thus, it is possible that, in a case, </w:t>
      </w:r>
      <w:r w:rsidR="006D02E4" w:rsidRPr="7A7A869F">
        <w:rPr>
          <w:lang w:val="en-US"/>
        </w:rPr>
        <w:t>an a</w:t>
      </w:r>
      <w:r w:rsidR="00E36724" w:rsidRPr="7A7A869F">
        <w:rPr>
          <w:lang w:val="en-US"/>
        </w:rPr>
        <w:t xml:space="preserve">rbitration </w:t>
      </w:r>
      <w:r w:rsidR="006D02E4" w:rsidRPr="7A7A869F">
        <w:rPr>
          <w:lang w:val="en-US"/>
        </w:rPr>
        <w:t>p</w:t>
      </w:r>
      <w:r w:rsidRPr="7A7A869F">
        <w:rPr>
          <w:lang w:val="en-US"/>
        </w:rPr>
        <w:t>anel decides that it has no jurisdiction on a matter brought before it because it was raised under Chapter 13</w:t>
      </w:r>
      <w:r w:rsidR="000E5009" w:rsidRPr="7A7A869F">
        <w:rPr>
          <w:lang w:val="en-GB"/>
        </w:rPr>
        <w:t xml:space="preserve"> of the Association Agreement</w:t>
      </w:r>
      <w:r w:rsidRPr="7A7A869F">
        <w:rPr>
          <w:lang w:val="en-US"/>
        </w:rPr>
        <w:t>, but that, later on, the Trade and Sustainable Development Sub-Committee decides that it should not address the matter because, according to its own analysis, the matter does not pertain to Chapter 13</w:t>
      </w:r>
      <w:r w:rsidR="000E5009" w:rsidRPr="7A7A869F">
        <w:rPr>
          <w:lang w:val="en-GB"/>
        </w:rPr>
        <w:t xml:space="preserve"> of the Association Agreement</w:t>
      </w:r>
      <w:r w:rsidRPr="7A7A869F">
        <w:rPr>
          <w:lang w:val="en-US"/>
        </w:rPr>
        <w:t xml:space="preserve">. Conversely, it can happen that a case is decided by </w:t>
      </w:r>
      <w:r w:rsidR="006D02E4" w:rsidRPr="7A7A869F">
        <w:rPr>
          <w:lang w:val="en-US"/>
        </w:rPr>
        <w:t>an a</w:t>
      </w:r>
      <w:r w:rsidRPr="7A7A869F">
        <w:rPr>
          <w:lang w:val="en-US"/>
        </w:rPr>
        <w:t xml:space="preserve">rbitration </w:t>
      </w:r>
      <w:r w:rsidR="006D02E4" w:rsidRPr="7A7A869F">
        <w:rPr>
          <w:lang w:val="en-US"/>
        </w:rPr>
        <w:t>p</w:t>
      </w:r>
      <w:r w:rsidRPr="7A7A869F">
        <w:rPr>
          <w:lang w:val="en-US"/>
        </w:rPr>
        <w:t>anel despite the claim of one Party that the matter pertains to Chapter 13</w:t>
      </w:r>
      <w:r w:rsidR="000E5009" w:rsidRPr="7A7A869F">
        <w:rPr>
          <w:lang w:val="en-GB"/>
        </w:rPr>
        <w:t xml:space="preserve"> of the Association Agreement</w:t>
      </w:r>
      <w:r w:rsidRPr="7A7A869F">
        <w:rPr>
          <w:lang w:val="en-US"/>
        </w:rPr>
        <w:t xml:space="preserve">, and that, later on, the Trade and Sustainable Development Sub-Committee is seized of the same matter and adopts a decision inconsistent with the </w:t>
      </w:r>
      <w:r w:rsidR="00DC7DE6" w:rsidRPr="7A7A869F">
        <w:rPr>
          <w:lang w:val="en-US"/>
        </w:rPr>
        <w:t>a</w:t>
      </w:r>
      <w:r w:rsidRPr="7A7A869F">
        <w:rPr>
          <w:lang w:val="en-US"/>
        </w:rPr>
        <w:t xml:space="preserve">rbitration </w:t>
      </w:r>
      <w:r w:rsidR="00DC7DE6" w:rsidRPr="7A7A869F">
        <w:rPr>
          <w:lang w:val="en-US"/>
        </w:rPr>
        <w:t>p</w:t>
      </w:r>
      <w:r w:rsidRPr="7A7A869F">
        <w:rPr>
          <w:lang w:val="en-US"/>
        </w:rPr>
        <w:t xml:space="preserve">anel’s decision. Such outcomes would of course be </w:t>
      </w:r>
      <w:r w:rsidR="00CE4EC0" w:rsidRPr="7A7A869F">
        <w:rPr>
          <w:lang w:val="en-US"/>
        </w:rPr>
        <w:t>unfortunate</w:t>
      </w:r>
      <w:r w:rsidRPr="7A7A869F">
        <w:rPr>
          <w:lang w:val="en-US"/>
        </w:rPr>
        <w:t>.</w:t>
      </w:r>
    </w:p>
    <w:p w14:paraId="0C1A5C0E" w14:textId="132F962D" w:rsidR="00E36724" w:rsidRPr="003F63A1" w:rsidRDefault="00CE4EC0" w:rsidP="002C555F">
      <w:pPr>
        <w:pStyle w:val="a3"/>
        <w:numPr>
          <w:ilvl w:val="0"/>
          <w:numId w:val="19"/>
        </w:numPr>
        <w:spacing w:after="120" w:line="360" w:lineRule="auto"/>
        <w:rPr>
          <w:lang w:val="en-GB"/>
        </w:rPr>
      </w:pPr>
      <w:r w:rsidRPr="7A7A869F">
        <w:rPr>
          <w:lang w:val="en-US"/>
        </w:rPr>
        <w:t xml:space="preserve">The </w:t>
      </w:r>
      <w:r w:rsidR="006C3F75" w:rsidRPr="7A7A869F">
        <w:rPr>
          <w:lang w:val="en-US"/>
        </w:rPr>
        <w:t>Association</w:t>
      </w:r>
      <w:r w:rsidR="00E36724" w:rsidRPr="7A7A869F">
        <w:rPr>
          <w:lang w:val="en-US"/>
        </w:rPr>
        <w:t xml:space="preserve"> Agreement does not </w:t>
      </w:r>
      <w:r w:rsidRPr="7A7A869F">
        <w:rPr>
          <w:lang w:val="en-US"/>
        </w:rPr>
        <w:t xml:space="preserve">provide for </w:t>
      </w:r>
      <w:r w:rsidR="00E36724" w:rsidRPr="7A7A869F">
        <w:rPr>
          <w:lang w:val="en-US"/>
        </w:rPr>
        <w:t xml:space="preserve">a procedure of “collaboration” between an Arbitration Panel and the Trade and Sustainable Development Sub-Committee. </w:t>
      </w:r>
      <w:r w:rsidRPr="7A7A869F">
        <w:rPr>
          <w:lang w:val="en-US"/>
        </w:rPr>
        <w:t>However</w:t>
      </w:r>
      <w:r w:rsidR="00E36724" w:rsidRPr="7A7A869F">
        <w:rPr>
          <w:lang w:val="en-US"/>
        </w:rPr>
        <w:t xml:space="preserve">, </w:t>
      </w:r>
      <w:r w:rsidR="00DC7DE6" w:rsidRPr="7A7A869F">
        <w:rPr>
          <w:lang w:val="en-US"/>
        </w:rPr>
        <w:t>an a</w:t>
      </w:r>
      <w:r w:rsidR="00E36724" w:rsidRPr="7A7A869F">
        <w:rPr>
          <w:lang w:val="en-US"/>
        </w:rPr>
        <w:t xml:space="preserve">rbitration </w:t>
      </w:r>
      <w:r w:rsidR="00DC7DE6" w:rsidRPr="7A7A869F">
        <w:rPr>
          <w:lang w:val="en-US"/>
        </w:rPr>
        <w:t>p</w:t>
      </w:r>
      <w:r w:rsidR="1A04EA99" w:rsidRPr="7A7A869F">
        <w:rPr>
          <w:lang w:val="en-US"/>
        </w:rPr>
        <w:t>anel</w:t>
      </w:r>
      <w:r w:rsidR="00E36724" w:rsidRPr="7A7A869F">
        <w:rPr>
          <w:lang w:val="en-US"/>
        </w:rPr>
        <w:t xml:space="preserve"> seized of a matter that, according to one Party, touches upon Chapter 13 provisions, should be able to refer the question whether it is indeed a matter under Chapter 13 to the </w:t>
      </w:r>
      <w:r w:rsidR="000E5009" w:rsidRPr="7A7A869F">
        <w:rPr>
          <w:lang w:val="en-US"/>
        </w:rPr>
        <w:t xml:space="preserve">Trade and Sustainable Development </w:t>
      </w:r>
      <w:r w:rsidR="00E36724" w:rsidRPr="7A7A869F">
        <w:rPr>
          <w:lang w:val="en-US"/>
        </w:rPr>
        <w:t xml:space="preserve">Sub-Committee. Ukraine submits that for the sake of consistency, </w:t>
      </w:r>
      <w:r w:rsidR="000E5009" w:rsidRPr="7A7A869F">
        <w:rPr>
          <w:lang w:val="en-US"/>
        </w:rPr>
        <w:t xml:space="preserve">the </w:t>
      </w:r>
      <w:r w:rsidR="00E36724" w:rsidRPr="7A7A869F">
        <w:rPr>
          <w:lang w:val="en-US"/>
        </w:rPr>
        <w:lastRenderedPageBreak/>
        <w:t xml:space="preserve">Arbitration Panel </w:t>
      </w:r>
      <w:r w:rsidR="00764287" w:rsidRPr="7A7A869F">
        <w:rPr>
          <w:lang w:val="en-US"/>
        </w:rPr>
        <w:t>should be allowed to</w:t>
      </w:r>
      <w:r w:rsidR="00E36724" w:rsidRPr="7A7A869F">
        <w:rPr>
          <w:lang w:val="en-US"/>
        </w:rPr>
        <w:t xml:space="preserve"> decide, </w:t>
      </w:r>
      <w:r w:rsidR="00E36724" w:rsidRPr="7A7A869F">
        <w:rPr>
          <w:i/>
          <w:lang w:val="en-US"/>
        </w:rPr>
        <w:t>proprio motu</w:t>
      </w:r>
      <w:r w:rsidR="00E36724" w:rsidRPr="7A7A869F">
        <w:rPr>
          <w:lang w:val="en-US"/>
        </w:rPr>
        <w:t>, to refer a question as to whether a matter before it must be considered a</w:t>
      </w:r>
      <w:r w:rsidR="00C30B0B" w:rsidRPr="7A7A869F">
        <w:rPr>
          <w:lang w:val="en-US"/>
        </w:rPr>
        <w:t>s a “matter</w:t>
      </w:r>
      <w:r w:rsidR="00E36724" w:rsidRPr="7A7A869F">
        <w:rPr>
          <w:lang w:val="en-US"/>
        </w:rPr>
        <w:t xml:space="preserve"> arising under Chapter 13</w:t>
      </w:r>
      <w:r w:rsidR="00C30B0B" w:rsidRPr="7A7A869F">
        <w:rPr>
          <w:lang w:val="en-US"/>
        </w:rPr>
        <w:t>”</w:t>
      </w:r>
      <w:r w:rsidR="00E36724" w:rsidRPr="7A7A869F">
        <w:rPr>
          <w:lang w:val="en-US"/>
        </w:rPr>
        <w:t xml:space="preserve">, </w:t>
      </w:r>
      <w:r w:rsidR="00764287" w:rsidRPr="7A7A869F">
        <w:rPr>
          <w:lang w:val="en-US"/>
        </w:rPr>
        <w:t xml:space="preserve">if such question arises with respect to a dispute, </w:t>
      </w:r>
      <w:r w:rsidR="00E36724" w:rsidRPr="7A7A869F">
        <w:rPr>
          <w:lang w:val="en-US"/>
        </w:rPr>
        <w:t xml:space="preserve">before deciding whether or not it has jurisdiction to entertain the case. If nothing in the Association Agreement organizes such a procedure, nothing prohibits </w:t>
      </w:r>
      <w:r w:rsidR="00C30B0B" w:rsidRPr="7A7A869F">
        <w:rPr>
          <w:lang w:val="en-US"/>
        </w:rPr>
        <w:t xml:space="preserve">the </w:t>
      </w:r>
      <w:r w:rsidR="00E36724" w:rsidRPr="7A7A869F">
        <w:rPr>
          <w:lang w:val="en-US"/>
        </w:rPr>
        <w:t>Arbitration Panel to proceed in such a way.</w:t>
      </w:r>
    </w:p>
    <w:p w14:paraId="4892B9EB" w14:textId="214F24F4" w:rsidR="00C30B0B" w:rsidRPr="003F63A1" w:rsidRDefault="00C30B0B" w:rsidP="007E750B">
      <w:pPr>
        <w:pStyle w:val="4"/>
        <w:jc w:val="both"/>
        <w:rPr>
          <w:rFonts w:cs="Times New Roman"/>
          <w:szCs w:val="26"/>
          <w:lang w:val="en-GB"/>
        </w:rPr>
      </w:pPr>
      <w:bookmarkStart w:id="28" w:name="_Toc52886571"/>
      <w:bookmarkStart w:id="29" w:name="_Toc52896876"/>
      <w:r w:rsidRPr="003F63A1">
        <w:rPr>
          <w:rFonts w:cs="Times New Roman"/>
          <w:szCs w:val="26"/>
          <w:lang w:val="en-GB"/>
        </w:rPr>
        <w:t>Is the matter before the Arbitration Panel a matter arising under Chapter 13</w:t>
      </w:r>
      <w:r w:rsidR="000E5009" w:rsidRPr="003F63A1">
        <w:rPr>
          <w:rFonts w:cs="Times New Roman"/>
          <w:szCs w:val="26"/>
          <w:lang w:val="en-GB"/>
        </w:rPr>
        <w:t xml:space="preserve"> of the Association Agreement</w:t>
      </w:r>
      <w:r w:rsidRPr="003F63A1">
        <w:rPr>
          <w:rFonts w:cs="Times New Roman"/>
          <w:szCs w:val="26"/>
          <w:lang w:val="en-GB"/>
        </w:rPr>
        <w:t>?</w:t>
      </w:r>
      <w:bookmarkEnd w:id="28"/>
      <w:bookmarkEnd w:id="29"/>
    </w:p>
    <w:p w14:paraId="3C51472A" w14:textId="416C9CEC" w:rsidR="00C30B0B" w:rsidRPr="003F63A1" w:rsidRDefault="00C30B0B" w:rsidP="002C555F">
      <w:pPr>
        <w:pStyle w:val="a3"/>
        <w:numPr>
          <w:ilvl w:val="0"/>
          <w:numId w:val="19"/>
        </w:numPr>
        <w:spacing w:after="120" w:line="360" w:lineRule="auto"/>
        <w:rPr>
          <w:lang w:val="en-GB"/>
        </w:rPr>
      </w:pPr>
      <w:r w:rsidRPr="7A7A869F">
        <w:rPr>
          <w:lang w:val="en-GB"/>
        </w:rPr>
        <w:t xml:space="preserve">The first </w:t>
      </w:r>
      <w:r w:rsidR="00764287" w:rsidRPr="7A7A869F">
        <w:rPr>
          <w:lang w:val="en-GB"/>
        </w:rPr>
        <w:t>question</w:t>
      </w:r>
      <w:r w:rsidRPr="7A7A869F">
        <w:rPr>
          <w:lang w:val="en-GB"/>
        </w:rPr>
        <w:t xml:space="preserve"> to clarify here is (i) the </w:t>
      </w:r>
      <w:r w:rsidR="00764287" w:rsidRPr="7A7A869F">
        <w:rPr>
          <w:lang w:val="en-GB"/>
        </w:rPr>
        <w:t>meaning</w:t>
      </w:r>
      <w:r w:rsidRPr="7A7A869F">
        <w:rPr>
          <w:lang w:val="en-GB"/>
        </w:rPr>
        <w:t xml:space="preserve"> of “matter arising under Chapter 13</w:t>
      </w:r>
      <w:r w:rsidR="000E5009" w:rsidRPr="7A7A869F">
        <w:rPr>
          <w:lang w:val="en-GB"/>
        </w:rPr>
        <w:t xml:space="preserve"> of the Association Agreement</w:t>
      </w:r>
      <w:r w:rsidRPr="7A7A869F">
        <w:rPr>
          <w:lang w:val="en-GB"/>
        </w:rPr>
        <w:t xml:space="preserve">”. From this, </w:t>
      </w:r>
      <w:r w:rsidR="006744DD" w:rsidRPr="7A7A869F">
        <w:rPr>
          <w:lang w:val="en-GB"/>
        </w:rPr>
        <w:t xml:space="preserve">another </w:t>
      </w:r>
      <w:r w:rsidRPr="7A7A869F">
        <w:rPr>
          <w:lang w:val="en-GB"/>
        </w:rPr>
        <w:t>key question that the Arbitration Panel has to ask itself in order to assess whether the dispute brought before it is a “matter arising under Chapter 13</w:t>
      </w:r>
      <w:r w:rsidR="000E5009" w:rsidRPr="7A7A869F">
        <w:rPr>
          <w:lang w:val="en-GB"/>
        </w:rPr>
        <w:t xml:space="preserve"> of the Association Agreement</w:t>
      </w:r>
      <w:r w:rsidRPr="7A7A869F">
        <w:rPr>
          <w:lang w:val="en-GB"/>
        </w:rPr>
        <w:t xml:space="preserve">” </w:t>
      </w:r>
      <w:r w:rsidR="006744DD" w:rsidRPr="7A7A869F">
        <w:rPr>
          <w:lang w:val="en-GB"/>
        </w:rPr>
        <w:t xml:space="preserve">is </w:t>
      </w:r>
      <w:r w:rsidRPr="7A7A869F">
        <w:rPr>
          <w:lang w:val="en-GB"/>
        </w:rPr>
        <w:t xml:space="preserve">as follows: </w:t>
      </w:r>
      <w:r w:rsidR="00991A2C" w:rsidRPr="7A7A869F">
        <w:rPr>
          <w:lang w:val="en-GB"/>
        </w:rPr>
        <w:t>(</w:t>
      </w:r>
      <w:r w:rsidRPr="7A7A869F">
        <w:rPr>
          <w:lang w:val="en-GB"/>
        </w:rPr>
        <w:t>ii) is the case engaging questions addressed by Chapter 13</w:t>
      </w:r>
      <w:r w:rsidR="000E5009" w:rsidRPr="7A7A869F">
        <w:rPr>
          <w:lang w:val="en-GB"/>
        </w:rPr>
        <w:t xml:space="preserve"> of the Association Agreement</w:t>
      </w:r>
      <w:r w:rsidRPr="7A7A869F">
        <w:rPr>
          <w:lang w:val="en-GB"/>
        </w:rPr>
        <w:t>?</w:t>
      </w:r>
    </w:p>
    <w:p w14:paraId="1D64EBB3" w14:textId="27710027" w:rsidR="006744DD" w:rsidRPr="003F63A1" w:rsidRDefault="006744DD" w:rsidP="002C555F">
      <w:pPr>
        <w:pStyle w:val="a3"/>
        <w:numPr>
          <w:ilvl w:val="0"/>
          <w:numId w:val="19"/>
        </w:numPr>
        <w:spacing w:after="120" w:line="360" w:lineRule="auto"/>
        <w:rPr>
          <w:lang w:val="en-GB"/>
        </w:rPr>
      </w:pPr>
      <w:r w:rsidRPr="7A7A869F">
        <w:rPr>
          <w:lang w:val="en-GB"/>
        </w:rPr>
        <w:t>As to question (i)</w:t>
      </w:r>
      <w:r w:rsidR="00260A07" w:rsidRPr="7A7A869F">
        <w:rPr>
          <w:lang w:val="en-GB"/>
        </w:rPr>
        <w:t>,</w:t>
      </w:r>
      <w:r w:rsidRPr="7A7A869F">
        <w:rPr>
          <w:lang w:val="en-GB"/>
        </w:rPr>
        <w:t xml:space="preserve"> it is clear that the term “matter”, in its context, encompasses, but is not limited to “disputes”. The term “matter” is enlightened by the fact that it appears in the heading of Title IV of the Association Agreement, which is related to “Trade and </w:t>
      </w:r>
      <w:r w:rsidR="00466EED" w:rsidRPr="7A7A869F">
        <w:rPr>
          <w:lang w:val="en-GB"/>
        </w:rPr>
        <w:t>trade-</w:t>
      </w:r>
      <w:r w:rsidRPr="7A7A869F">
        <w:rPr>
          <w:lang w:val="en-GB"/>
        </w:rPr>
        <w:t>related matters”. This Title IV contains provisions regarding disputes, but of course not only disputes. Matters arising under Chapter 13, therefore, refer to disputes related to Chapter 13 provisions, but also, more generally, to any “question” addressed in Chapter 13</w:t>
      </w:r>
      <w:r w:rsidR="000E5009" w:rsidRPr="7A7A869F">
        <w:rPr>
          <w:lang w:val="en-GB"/>
        </w:rPr>
        <w:t xml:space="preserve"> of the Association Agreement</w:t>
      </w:r>
      <w:r w:rsidRPr="7A7A869F">
        <w:rPr>
          <w:lang w:val="en-GB"/>
        </w:rPr>
        <w:t>.</w:t>
      </w:r>
      <w:r w:rsidR="000E5009" w:rsidRPr="7A7A869F">
        <w:rPr>
          <w:lang w:val="en-GB"/>
        </w:rPr>
        <w:t xml:space="preserve"> </w:t>
      </w:r>
    </w:p>
    <w:p w14:paraId="1AC45EDA" w14:textId="1AB01AD6" w:rsidR="006744DD" w:rsidRPr="003F63A1" w:rsidRDefault="006744DD" w:rsidP="002C555F">
      <w:pPr>
        <w:pStyle w:val="a3"/>
        <w:numPr>
          <w:ilvl w:val="0"/>
          <w:numId w:val="19"/>
        </w:numPr>
        <w:spacing w:after="120" w:line="360" w:lineRule="auto"/>
        <w:rPr>
          <w:lang w:val="en-GB"/>
        </w:rPr>
      </w:pPr>
      <w:r w:rsidRPr="7A7A869F">
        <w:rPr>
          <w:lang w:val="en-GB"/>
        </w:rPr>
        <w:t xml:space="preserve">This </w:t>
      </w:r>
      <w:r w:rsidR="3CD323CE" w:rsidRPr="7A7A869F">
        <w:rPr>
          <w:lang w:val="en-GB"/>
        </w:rPr>
        <w:t>being</w:t>
      </w:r>
      <w:r w:rsidRPr="7A7A869F">
        <w:rPr>
          <w:lang w:val="en-GB"/>
        </w:rPr>
        <w:t xml:space="preserve"> said, the rationale of the existence of specific exclusive procedures concerning “matters ar</w:t>
      </w:r>
      <w:r w:rsidR="00260A07" w:rsidRPr="7A7A869F">
        <w:rPr>
          <w:lang w:val="en-GB"/>
        </w:rPr>
        <w:t>i</w:t>
      </w:r>
      <w:r w:rsidRPr="7A7A869F">
        <w:rPr>
          <w:lang w:val="en-GB"/>
        </w:rPr>
        <w:t>sing under Chapter 13</w:t>
      </w:r>
      <w:r w:rsidR="000E5009" w:rsidRPr="7A7A869F">
        <w:rPr>
          <w:lang w:val="en-GB"/>
        </w:rPr>
        <w:t xml:space="preserve"> of the Association Agreement</w:t>
      </w:r>
      <w:r w:rsidRPr="7A7A869F">
        <w:rPr>
          <w:lang w:val="en-GB"/>
        </w:rPr>
        <w:t>”, as provided for by Article 300(7)</w:t>
      </w:r>
      <w:r w:rsidR="003E0D34" w:rsidRPr="7A7A869F">
        <w:rPr>
          <w:lang w:val="en-GB"/>
        </w:rPr>
        <w:t xml:space="preserve"> of the Association Agreement</w:t>
      </w:r>
      <w:r w:rsidRPr="7A7A869F">
        <w:rPr>
          <w:lang w:val="en-GB"/>
        </w:rPr>
        <w:t xml:space="preserve">, is straightforward. It derives from the fact that the Parties considered that questions concerning both “trade” and “sustainable development” should be dealt with by “experts”, who are, as provided for in Article 301(3): “persons with expertise on the issues covered by this Chapter [13]”. In short, the Parties considered that it would not be appropriate </w:t>
      </w:r>
      <w:r w:rsidR="00CB0A62" w:rsidRPr="7A7A869F">
        <w:rPr>
          <w:lang w:val="en-GB"/>
        </w:rPr>
        <w:t>to have</w:t>
      </w:r>
      <w:r w:rsidRPr="7A7A869F">
        <w:rPr>
          <w:lang w:val="en-GB"/>
        </w:rPr>
        <w:t xml:space="preserve"> “matters arising under Chapter 13” addressed by Chapter 14 </w:t>
      </w:r>
      <w:r w:rsidR="00CB0A62" w:rsidRPr="7A7A869F">
        <w:rPr>
          <w:lang w:val="en-GB"/>
        </w:rPr>
        <w:t>a</w:t>
      </w:r>
      <w:r w:rsidRPr="7A7A869F">
        <w:rPr>
          <w:lang w:val="en-GB"/>
        </w:rPr>
        <w:t xml:space="preserve">rbitration </w:t>
      </w:r>
      <w:r w:rsidRPr="7A7A869F">
        <w:rPr>
          <w:lang w:val="en-GB"/>
        </w:rPr>
        <w:lastRenderedPageBreak/>
        <w:t xml:space="preserve">panels, but, rather, decided that those questions, including </w:t>
      </w:r>
      <w:r w:rsidR="00CB0A62" w:rsidRPr="7A7A869F">
        <w:rPr>
          <w:lang w:val="en-GB"/>
        </w:rPr>
        <w:t xml:space="preserve">when they take </w:t>
      </w:r>
      <w:r w:rsidRPr="7A7A869F">
        <w:rPr>
          <w:lang w:val="en-GB"/>
        </w:rPr>
        <w:t>the form of</w:t>
      </w:r>
      <w:r w:rsidR="00CB0A62" w:rsidRPr="7A7A869F">
        <w:rPr>
          <w:lang w:val="en-GB"/>
        </w:rPr>
        <w:t xml:space="preserve"> or arise in relation to </w:t>
      </w:r>
      <w:r w:rsidRPr="7A7A869F">
        <w:rPr>
          <w:lang w:val="en-GB"/>
        </w:rPr>
        <w:t>disputes, must exclusively be addressed by “</w:t>
      </w:r>
      <w:r w:rsidR="63546371" w:rsidRPr="7A7A869F">
        <w:rPr>
          <w:lang w:val="en-GB"/>
        </w:rPr>
        <w:t>experts</w:t>
      </w:r>
      <w:r w:rsidRPr="7A7A869F">
        <w:rPr>
          <w:lang w:val="en-GB"/>
        </w:rPr>
        <w:t xml:space="preserve">” in </w:t>
      </w:r>
      <w:r w:rsidRPr="7A7A869F">
        <w:rPr>
          <w:i/>
          <w:lang w:val="en-GB"/>
        </w:rPr>
        <w:t>both</w:t>
      </w:r>
      <w:r w:rsidRPr="7A7A869F">
        <w:rPr>
          <w:lang w:val="en-GB"/>
        </w:rPr>
        <w:t xml:space="preserve"> trade and sustainable development.</w:t>
      </w:r>
      <w:r w:rsidR="000E5009" w:rsidRPr="7A7A869F">
        <w:rPr>
          <w:lang w:val="en-GB"/>
        </w:rPr>
        <w:t xml:space="preserve"> </w:t>
      </w:r>
    </w:p>
    <w:p w14:paraId="6903FFE0" w14:textId="08368229" w:rsidR="003E0D34" w:rsidRPr="003F63A1" w:rsidRDefault="003E0D34" w:rsidP="002C555F">
      <w:pPr>
        <w:pStyle w:val="a3"/>
        <w:numPr>
          <w:ilvl w:val="0"/>
          <w:numId w:val="19"/>
        </w:numPr>
        <w:spacing w:after="120" w:line="360" w:lineRule="auto"/>
        <w:rPr>
          <w:lang w:val="en-GB"/>
        </w:rPr>
      </w:pPr>
      <w:r w:rsidRPr="7A7A869F">
        <w:rPr>
          <w:lang w:val="en-GB"/>
        </w:rPr>
        <w:t>On question (ii)</w:t>
      </w:r>
      <w:r w:rsidR="00CB0A62" w:rsidRPr="7A7A869F">
        <w:rPr>
          <w:lang w:val="en-GB"/>
        </w:rPr>
        <w:t>,</w:t>
      </w:r>
      <w:r w:rsidRPr="7A7A869F">
        <w:rPr>
          <w:lang w:val="en-GB"/>
        </w:rPr>
        <w:t xml:space="preserve"> the discussions between the Parties as well as the Arbitration Panel’s questions clearly demonstrate that the current case engages matters that arise under Chapter 13:</w:t>
      </w:r>
    </w:p>
    <w:p w14:paraId="2DBE36C7" w14:textId="7FE606DF" w:rsidR="003E0D34" w:rsidRPr="003F63A1" w:rsidRDefault="003E0D34" w:rsidP="003E0D34">
      <w:pPr>
        <w:pStyle w:val="a3"/>
        <w:numPr>
          <w:ilvl w:val="1"/>
          <w:numId w:val="19"/>
        </w:numPr>
        <w:spacing w:after="120" w:line="360" w:lineRule="auto"/>
        <w:rPr>
          <w:lang w:val="en-GB"/>
        </w:rPr>
      </w:pPr>
      <w:r w:rsidRPr="7A7A869F">
        <w:rPr>
          <w:lang w:val="en-GB"/>
        </w:rPr>
        <w:t>For example, at the core of the dispute lies Article 296(2)</w:t>
      </w:r>
      <w:r w:rsidR="009768BF" w:rsidRPr="7A7A869F">
        <w:rPr>
          <w:lang w:val="en-GB"/>
        </w:rPr>
        <w:t xml:space="preserve"> of the Association Agreement</w:t>
      </w:r>
      <w:r w:rsidRPr="7A7A869F">
        <w:rPr>
          <w:lang w:val="en-GB"/>
        </w:rPr>
        <w:t>, which is a Chapter 13 provision. The key question is how it must be understood and whether it creates a standstill (or non-regression) obligation in terms of environmental protection.</w:t>
      </w:r>
      <w:r w:rsidR="00583E7B" w:rsidRPr="7A7A869F">
        <w:rPr>
          <w:rStyle w:val="af6"/>
          <w:lang w:val="en-GB"/>
        </w:rPr>
        <w:footnoteReference w:id="23"/>
      </w:r>
      <w:r w:rsidRPr="7A7A869F">
        <w:rPr>
          <w:lang w:val="en-GB"/>
        </w:rPr>
        <w:t xml:space="preserve"> Of course, if this is the case, then Ukraine cannot be challenged as to the protection of its forests established before the entry into force of the Association Agreement. </w:t>
      </w:r>
      <w:r w:rsidR="00FC6D4B" w:rsidRPr="7A7A869F">
        <w:rPr>
          <w:lang w:val="en-GB"/>
        </w:rPr>
        <w:t>However,</w:t>
      </w:r>
      <w:r w:rsidRPr="7A7A869F">
        <w:rPr>
          <w:lang w:val="en-GB"/>
        </w:rPr>
        <w:t xml:space="preserve"> this question is plainly a “matter arising under Chapter 13</w:t>
      </w:r>
      <w:r w:rsidR="00E9416C" w:rsidRPr="7A7A869F">
        <w:rPr>
          <w:lang w:val="en-GB"/>
        </w:rPr>
        <w:t xml:space="preserve"> of the Association Agreement</w:t>
      </w:r>
      <w:r w:rsidR="009768BF" w:rsidRPr="7A7A869F">
        <w:rPr>
          <w:lang w:val="en-GB"/>
        </w:rPr>
        <w:t>”</w:t>
      </w:r>
      <w:r w:rsidRPr="7A7A869F">
        <w:rPr>
          <w:lang w:val="en-GB"/>
        </w:rPr>
        <w:t xml:space="preserve"> since it is all about the </w:t>
      </w:r>
      <w:r w:rsidR="0043310D" w:rsidRPr="7A7A869F">
        <w:rPr>
          <w:lang w:val="en-GB"/>
        </w:rPr>
        <w:t xml:space="preserve">interpretation and application </w:t>
      </w:r>
      <w:r w:rsidRPr="7A7A869F">
        <w:rPr>
          <w:lang w:val="en-GB"/>
        </w:rPr>
        <w:t xml:space="preserve">of a provision of </w:t>
      </w:r>
      <w:r w:rsidR="00E9416C" w:rsidRPr="7A7A869F">
        <w:rPr>
          <w:lang w:val="en-GB"/>
        </w:rPr>
        <w:t>th</w:t>
      </w:r>
      <w:r w:rsidR="006B62EA" w:rsidRPr="7A7A869F">
        <w:rPr>
          <w:lang w:val="en-GB"/>
        </w:rPr>
        <w:t>is</w:t>
      </w:r>
      <w:r w:rsidR="00E9416C" w:rsidRPr="7A7A869F">
        <w:rPr>
          <w:lang w:val="en-GB"/>
        </w:rPr>
        <w:t xml:space="preserve"> </w:t>
      </w:r>
      <w:r w:rsidRPr="7A7A869F">
        <w:rPr>
          <w:lang w:val="en-GB"/>
        </w:rPr>
        <w:t>Chapter.</w:t>
      </w:r>
      <w:r w:rsidR="00E9416C" w:rsidRPr="7A7A869F">
        <w:rPr>
          <w:lang w:val="en-GB"/>
        </w:rPr>
        <w:t xml:space="preserve"> </w:t>
      </w:r>
    </w:p>
    <w:p w14:paraId="0611DF58" w14:textId="5EF4335D" w:rsidR="009768BF" w:rsidRPr="003F63A1" w:rsidRDefault="009768BF" w:rsidP="003E0D34">
      <w:pPr>
        <w:pStyle w:val="a3"/>
        <w:numPr>
          <w:ilvl w:val="1"/>
          <w:numId w:val="19"/>
        </w:numPr>
        <w:spacing w:after="120" w:line="360" w:lineRule="auto"/>
        <w:rPr>
          <w:lang w:val="en-GB"/>
        </w:rPr>
      </w:pPr>
      <w:r w:rsidRPr="7A7A869F">
        <w:rPr>
          <w:lang w:val="en-GB"/>
        </w:rPr>
        <w:t xml:space="preserve">In the same vein, the dispute essentially concerns Article 290 of the Association Agreement. The Parties, as well as the Arbitration Panel, are well aware that this provision is also at the core of the dispute. The </w:t>
      </w:r>
      <w:r w:rsidR="003F63A1" w:rsidRPr="7A7A869F">
        <w:rPr>
          <w:lang w:val="en-GB"/>
        </w:rPr>
        <w:t>European Union</w:t>
      </w:r>
      <w:r w:rsidRPr="7A7A869F">
        <w:rPr>
          <w:lang w:val="en-GB"/>
        </w:rPr>
        <w:t xml:space="preserve"> contends that Article 290 “must be exercised in </w:t>
      </w:r>
      <w:r w:rsidR="00BD0D3D" w:rsidRPr="7A7A869F">
        <w:rPr>
          <w:lang w:val="en-GB"/>
        </w:rPr>
        <w:t>accordance</w:t>
      </w:r>
      <w:r w:rsidRPr="7A7A869F">
        <w:rPr>
          <w:lang w:val="en-GB"/>
        </w:rPr>
        <w:t xml:space="preserve"> with the requirement of other provisions of the </w:t>
      </w:r>
      <w:r w:rsidR="00727074" w:rsidRPr="7A7A869F">
        <w:rPr>
          <w:lang w:val="en-GB"/>
        </w:rPr>
        <w:t>[</w:t>
      </w:r>
      <w:r w:rsidR="007A33D7" w:rsidRPr="7A7A869F">
        <w:rPr>
          <w:lang w:val="en-GB"/>
        </w:rPr>
        <w:t>Association Agreement</w:t>
      </w:r>
      <w:r w:rsidR="00727074" w:rsidRPr="7A7A869F">
        <w:rPr>
          <w:lang w:val="en-GB"/>
        </w:rPr>
        <w:t>]</w:t>
      </w:r>
      <w:r w:rsidR="007A33D7" w:rsidRPr="7A7A869F" w:rsidDel="007A33D7">
        <w:rPr>
          <w:lang w:val="en-GB"/>
        </w:rPr>
        <w:t xml:space="preserve"> </w:t>
      </w:r>
      <w:r w:rsidRPr="7A7A869F">
        <w:rPr>
          <w:lang w:val="en-GB"/>
        </w:rPr>
        <w:t>that give expression and operationalise the “right to regulate”</w:t>
      </w:r>
      <w:r w:rsidRPr="7A7A869F">
        <w:rPr>
          <w:rStyle w:val="af6"/>
          <w:lang w:val="en-GB"/>
        </w:rPr>
        <w:footnoteReference w:id="24"/>
      </w:r>
      <w:r w:rsidRPr="7A7A869F">
        <w:rPr>
          <w:lang w:val="en-GB"/>
        </w:rPr>
        <w:t xml:space="preserve"> but Ukraine disagrees.</w:t>
      </w:r>
      <w:r w:rsidR="00BD0D3D" w:rsidRPr="7A7A869F">
        <w:rPr>
          <w:rStyle w:val="af6"/>
          <w:lang w:val="en-GB"/>
        </w:rPr>
        <w:footnoteReference w:id="25"/>
      </w:r>
      <w:r w:rsidRPr="7A7A869F">
        <w:rPr>
          <w:lang w:val="en-GB"/>
        </w:rPr>
        <w:t xml:space="preserve"> This is plainly a matter arising under Chapter 13 </w:t>
      </w:r>
      <w:r w:rsidR="007152EE" w:rsidRPr="7A7A869F">
        <w:rPr>
          <w:lang w:val="en-GB"/>
        </w:rPr>
        <w:t xml:space="preserve">of the Association Agreement </w:t>
      </w:r>
      <w:r w:rsidRPr="7A7A869F">
        <w:rPr>
          <w:lang w:val="en-GB"/>
        </w:rPr>
        <w:t>because it concerns the very meaning of one key provision of this Chapter.</w:t>
      </w:r>
    </w:p>
    <w:p w14:paraId="40EAB16C" w14:textId="7B8021D1" w:rsidR="005E1698" w:rsidRPr="003F63A1" w:rsidRDefault="005E1698" w:rsidP="003E0D34">
      <w:pPr>
        <w:pStyle w:val="a3"/>
        <w:numPr>
          <w:ilvl w:val="1"/>
          <w:numId w:val="19"/>
        </w:numPr>
        <w:spacing w:after="120" w:line="360" w:lineRule="auto"/>
        <w:rPr>
          <w:lang w:val="en-GB"/>
        </w:rPr>
      </w:pPr>
      <w:r w:rsidRPr="7A7A869F">
        <w:rPr>
          <w:lang w:val="en-GB"/>
        </w:rPr>
        <w:t>Another striking characteristic of the dispute is the high level of expertise needed, for example</w:t>
      </w:r>
      <w:r w:rsidR="00FC6D4B" w:rsidRPr="7A7A869F">
        <w:rPr>
          <w:lang w:val="en-GB"/>
        </w:rPr>
        <w:t>,</w:t>
      </w:r>
      <w:r w:rsidRPr="7A7A869F">
        <w:rPr>
          <w:lang w:val="en-GB"/>
        </w:rPr>
        <w:t xml:space="preserve"> to assess whether or not some trees need protection, and to what extent. The questions regarding the rate of regeneration of a forest, and other important questions of this kind, also need a high level of </w:t>
      </w:r>
      <w:r w:rsidRPr="7A7A869F">
        <w:rPr>
          <w:lang w:val="en-GB"/>
        </w:rPr>
        <w:lastRenderedPageBreak/>
        <w:t>expertise in sustainable development matters. Illustration of this point transpire</w:t>
      </w:r>
      <w:r w:rsidR="00B72ADC" w:rsidRPr="7A7A869F">
        <w:rPr>
          <w:lang w:val="en-GB"/>
        </w:rPr>
        <w:t>s,</w:t>
      </w:r>
      <w:r w:rsidRPr="7A7A869F">
        <w:rPr>
          <w:lang w:val="en-GB"/>
        </w:rPr>
        <w:t xml:space="preserve"> for example</w:t>
      </w:r>
      <w:r w:rsidR="00B72ADC" w:rsidRPr="7A7A869F">
        <w:rPr>
          <w:lang w:val="en-GB"/>
        </w:rPr>
        <w:t>,</w:t>
      </w:r>
      <w:r w:rsidRPr="7A7A869F">
        <w:rPr>
          <w:lang w:val="en-GB"/>
        </w:rPr>
        <w:t xml:space="preserve"> from Questions 9, 10, 13, etc.</w:t>
      </w:r>
      <w:r w:rsidR="0008352F" w:rsidRPr="7A7A869F">
        <w:rPr>
          <w:lang w:val="en-GB"/>
        </w:rPr>
        <w:t xml:space="preserve"> below.</w:t>
      </w:r>
    </w:p>
    <w:p w14:paraId="10B787A1" w14:textId="77F9894C" w:rsidR="00D40670" w:rsidRPr="007E750B" w:rsidRDefault="0008352F" w:rsidP="00D40670">
      <w:pPr>
        <w:pStyle w:val="a3"/>
        <w:numPr>
          <w:ilvl w:val="0"/>
          <w:numId w:val="19"/>
        </w:numPr>
        <w:spacing w:after="120" w:line="360" w:lineRule="auto"/>
        <w:rPr>
          <w:rFonts w:eastAsiaTheme="minorEastAsia"/>
          <w:lang w:val="en-GB"/>
        </w:rPr>
      </w:pPr>
      <w:r w:rsidRPr="7A7A869F">
        <w:rPr>
          <w:lang w:val="en-GB"/>
        </w:rPr>
        <w:t xml:space="preserve">Thus, and to conclude, </w:t>
      </w:r>
      <w:r w:rsidR="002D6D7A" w:rsidRPr="7A7A869F">
        <w:rPr>
          <w:lang w:val="en-GB"/>
        </w:rPr>
        <w:t>u</w:t>
      </w:r>
      <w:r w:rsidR="00D40670" w:rsidRPr="7A7A869F">
        <w:rPr>
          <w:lang w:val="en-GB"/>
        </w:rPr>
        <w:t xml:space="preserve">nder Article 304 of the Association Agreement, the </w:t>
      </w:r>
      <w:r w:rsidR="5280B366" w:rsidRPr="7A7A869F">
        <w:rPr>
          <w:lang w:val="en-GB"/>
        </w:rPr>
        <w:t xml:space="preserve">Arbitration Panel </w:t>
      </w:r>
      <w:r w:rsidR="00D40670" w:rsidRPr="7A7A869F">
        <w:rPr>
          <w:lang w:val="en-GB"/>
        </w:rPr>
        <w:t xml:space="preserve">is competent regarding “any dispute concerning the interpretation or application of the provisions of Title IV </w:t>
      </w:r>
      <w:r w:rsidR="00355C83" w:rsidRPr="7A7A869F">
        <w:rPr>
          <w:lang w:val="en-GB"/>
        </w:rPr>
        <w:t>[</w:t>
      </w:r>
      <w:r w:rsidR="00D40670" w:rsidRPr="7A7A869F">
        <w:rPr>
          <w:lang w:val="en-GB"/>
        </w:rPr>
        <w:t>…</w:t>
      </w:r>
      <w:r w:rsidR="00355C83" w:rsidRPr="7A7A869F">
        <w:rPr>
          <w:lang w:val="en-GB"/>
        </w:rPr>
        <w:t>]</w:t>
      </w:r>
      <w:r w:rsidR="00D40670" w:rsidRPr="7A7A869F">
        <w:rPr>
          <w:lang w:val="en-GB"/>
        </w:rPr>
        <w:t xml:space="preserve">  except as otherwise expressly provided”. Article 300(7) of the Association Agreement expressly provides otherwise in so far as matters arising under Chapter 13</w:t>
      </w:r>
      <w:r w:rsidR="002D6D7A" w:rsidRPr="7A7A869F">
        <w:rPr>
          <w:lang w:val="en-GB"/>
        </w:rPr>
        <w:t xml:space="preserve"> of the Association Agreement</w:t>
      </w:r>
      <w:r w:rsidR="00D40670" w:rsidRPr="7A7A869F">
        <w:rPr>
          <w:lang w:val="en-GB"/>
        </w:rPr>
        <w:t xml:space="preserve"> are concerned. </w:t>
      </w:r>
      <w:r w:rsidR="003765E1" w:rsidRPr="7A7A869F">
        <w:rPr>
          <w:lang w:val="en-GB"/>
        </w:rPr>
        <w:t>Since t</w:t>
      </w:r>
      <w:r w:rsidR="00D40670" w:rsidRPr="7A7A869F">
        <w:rPr>
          <w:lang w:val="en-GB"/>
        </w:rPr>
        <w:t xml:space="preserve">his case plainly rises matters that fall </w:t>
      </w:r>
      <w:r w:rsidR="003765E1" w:rsidRPr="7A7A869F">
        <w:rPr>
          <w:lang w:val="en-GB"/>
        </w:rPr>
        <w:t>under</w:t>
      </w:r>
      <w:r w:rsidR="00D40670" w:rsidRPr="7A7A869F">
        <w:rPr>
          <w:lang w:val="en-GB"/>
        </w:rPr>
        <w:t xml:space="preserve"> the scope of Chapter</w:t>
      </w:r>
      <w:r w:rsidR="003765E1" w:rsidRPr="7A7A869F">
        <w:rPr>
          <w:lang w:val="en-GB"/>
        </w:rPr>
        <w:t> </w:t>
      </w:r>
      <w:r w:rsidR="00D40670" w:rsidRPr="7A7A869F">
        <w:rPr>
          <w:lang w:val="en-GB"/>
        </w:rPr>
        <w:t>13</w:t>
      </w:r>
      <w:r w:rsidR="003765E1" w:rsidRPr="7A7A869F">
        <w:rPr>
          <w:lang w:val="en-GB"/>
        </w:rPr>
        <w:t xml:space="preserve">, the Arbitration Panel should </w:t>
      </w:r>
      <w:r w:rsidR="002D6D7A" w:rsidRPr="7A7A869F">
        <w:rPr>
          <w:lang w:val="en-GB"/>
        </w:rPr>
        <w:t>examine the jurisdictional objection raised by Ukraine in the current case</w:t>
      </w:r>
      <w:r w:rsidR="00D40670" w:rsidRPr="7A7A869F">
        <w:rPr>
          <w:lang w:val="en-GB"/>
        </w:rPr>
        <w:t>.</w:t>
      </w:r>
      <w:r w:rsidR="562CED6B" w:rsidRPr="7A7A869F">
        <w:rPr>
          <w:lang w:val="en-GB"/>
        </w:rPr>
        <w:t xml:space="preserve"> </w:t>
      </w:r>
    </w:p>
    <w:p w14:paraId="7A638661" w14:textId="09051349" w:rsidR="00FA251D" w:rsidRPr="003F63A1" w:rsidRDefault="002C62BF" w:rsidP="001B59B9">
      <w:pPr>
        <w:pStyle w:val="2"/>
        <w:jc w:val="both"/>
        <w:rPr>
          <w:rFonts w:cs="Times New Roman"/>
          <w:lang w:val="en-GB"/>
        </w:rPr>
      </w:pPr>
      <w:bookmarkStart w:id="30" w:name="_Toc52886572"/>
      <w:bookmarkStart w:id="31" w:name="_Toc52896877"/>
      <w:r w:rsidRPr="003F63A1">
        <w:rPr>
          <w:rFonts w:cs="Times New Roman"/>
          <w:lang w:val="en-GB"/>
        </w:rPr>
        <w:t>Question 2</w:t>
      </w:r>
      <w:r w:rsidR="001D7FF7" w:rsidRPr="003F63A1">
        <w:rPr>
          <w:rFonts w:cs="Times New Roman"/>
          <w:lang w:val="en-GB"/>
        </w:rPr>
        <w:t xml:space="preserve"> – Whether the </w:t>
      </w:r>
      <w:r w:rsidR="007C3860" w:rsidRPr="003F63A1">
        <w:rPr>
          <w:rFonts w:cs="Times New Roman"/>
          <w:lang w:val="en-GB"/>
        </w:rPr>
        <w:t xml:space="preserve">Arbitration </w:t>
      </w:r>
      <w:r w:rsidR="001D7FF7" w:rsidRPr="003F63A1">
        <w:rPr>
          <w:rFonts w:cs="Times New Roman"/>
          <w:lang w:val="en-GB"/>
        </w:rPr>
        <w:t xml:space="preserve">Panel is entitled </w:t>
      </w:r>
      <w:r w:rsidR="007C3860" w:rsidRPr="003F63A1">
        <w:rPr>
          <w:rFonts w:cs="Times New Roman"/>
          <w:lang w:val="en-GB"/>
        </w:rPr>
        <w:t xml:space="preserve">to provide suggestions or recommendations </w:t>
      </w:r>
      <w:r w:rsidR="001B59B9" w:rsidRPr="003F63A1">
        <w:rPr>
          <w:rFonts w:cs="Times New Roman"/>
          <w:lang w:val="en-GB"/>
        </w:rPr>
        <w:t>(akin to the WTO DSU Article 19 rules)</w:t>
      </w:r>
      <w:bookmarkEnd w:id="30"/>
      <w:bookmarkEnd w:id="31"/>
      <w:r w:rsidR="001B59B9" w:rsidRPr="003F63A1">
        <w:rPr>
          <w:rFonts w:cs="Times New Roman"/>
          <w:lang w:val="en-GB"/>
        </w:rPr>
        <w:t xml:space="preserve"> </w:t>
      </w:r>
    </w:p>
    <w:p w14:paraId="20BD8E0C" w14:textId="6F4E9A41" w:rsidR="00E56B41" w:rsidRPr="003F63A1" w:rsidRDefault="003F37BA" w:rsidP="00D80B8A">
      <w:pPr>
        <w:spacing w:after="120"/>
        <w:jc w:val="both"/>
        <w:rPr>
          <w:sz w:val="26"/>
          <w:szCs w:val="26"/>
          <w:lang w:val="en-GB"/>
        </w:rPr>
      </w:pPr>
      <w:r w:rsidRPr="003F63A1">
        <w:rPr>
          <w:b/>
          <w:bCs/>
          <w:sz w:val="26"/>
          <w:szCs w:val="26"/>
          <w:lang w:val="en-GB"/>
        </w:rPr>
        <w:t>MR Giorgio SACERDOTI</w:t>
      </w:r>
      <w:r w:rsidRPr="003F63A1">
        <w:rPr>
          <w:sz w:val="26"/>
          <w:szCs w:val="26"/>
          <w:lang w:val="en-GB"/>
        </w:rPr>
        <w:t>: “The second question concerns Ukraine`s request number 3 in paragraph 132 [of the Provisional Opening Oral Statement of Ukraine], on what basis and with what effect would the Panel be entitled to “clarify what measures would be required for Ukraine to comply with the Association Agreement”?”</w:t>
      </w:r>
    </w:p>
    <w:p w14:paraId="542553C7" w14:textId="3B152AAF" w:rsidR="00D651D5" w:rsidRPr="003F63A1" w:rsidRDefault="00AB3E85" w:rsidP="007E2594">
      <w:pPr>
        <w:pStyle w:val="a3"/>
        <w:numPr>
          <w:ilvl w:val="0"/>
          <w:numId w:val="19"/>
        </w:numPr>
        <w:spacing w:after="120" w:line="360" w:lineRule="auto"/>
        <w:ind w:left="357" w:hanging="357"/>
        <w:rPr>
          <w:lang w:val="en-GB"/>
        </w:rPr>
      </w:pPr>
      <w:r w:rsidRPr="7A7A869F">
        <w:rPr>
          <w:lang w:val="en-GB"/>
        </w:rPr>
        <w:t>As already submitted during the hearings, Ukraine reiterates its arguments made in its closing submissions on this point.</w:t>
      </w:r>
    </w:p>
    <w:p w14:paraId="5F69B115" w14:textId="00DB5CAC" w:rsidR="0090551F" w:rsidRPr="003F63A1" w:rsidRDefault="0090551F" w:rsidP="007E2594">
      <w:pPr>
        <w:pStyle w:val="a3"/>
        <w:numPr>
          <w:ilvl w:val="0"/>
          <w:numId w:val="19"/>
        </w:numPr>
        <w:spacing w:after="120" w:line="360" w:lineRule="auto"/>
        <w:ind w:left="357" w:hanging="357"/>
        <w:rPr>
          <w:lang w:val="en-GB"/>
        </w:rPr>
      </w:pPr>
      <w:r w:rsidRPr="7A7A869F">
        <w:rPr>
          <w:lang w:val="en-GB"/>
        </w:rPr>
        <w:t>To recall, at paragraph 132(3) of its Provisional Opening Oral Statement</w:t>
      </w:r>
      <w:r w:rsidR="001B6E4C" w:rsidRPr="7A7A869F">
        <w:rPr>
          <w:lang w:val="en-GB"/>
        </w:rPr>
        <w:t>,</w:t>
      </w:r>
      <w:r w:rsidRPr="7A7A869F">
        <w:rPr>
          <w:lang w:val="en-GB"/>
        </w:rPr>
        <w:t xml:space="preserve"> </w:t>
      </w:r>
      <w:r w:rsidR="00D139C2" w:rsidRPr="7A7A869F">
        <w:rPr>
          <w:lang w:val="en-US"/>
        </w:rPr>
        <w:t xml:space="preserve">Ukraine </w:t>
      </w:r>
      <w:r w:rsidRPr="7A7A869F">
        <w:rPr>
          <w:lang w:val="en-GB"/>
        </w:rPr>
        <w:t xml:space="preserve">has sought the following alternative relief (i.e. if the Arbitration Panel </w:t>
      </w:r>
      <w:r w:rsidR="00CE2947" w:rsidRPr="7A7A869F">
        <w:rPr>
          <w:lang w:val="en-GB"/>
        </w:rPr>
        <w:t>rules negatively on the first two ones expressed at paragraphs 132(1) and 132(2) of Provisional Opening Oral Statement of Ukraine</w:t>
      </w:r>
      <w:r w:rsidR="00D139C2" w:rsidRPr="7A7A869F">
        <w:rPr>
          <w:lang w:val="en-GB"/>
        </w:rPr>
        <w:t>)</w:t>
      </w:r>
      <w:r w:rsidR="00CE2947" w:rsidRPr="7A7A869F">
        <w:rPr>
          <w:lang w:val="en-GB"/>
        </w:rPr>
        <w:t>:</w:t>
      </w:r>
    </w:p>
    <w:p w14:paraId="4DA4659A" w14:textId="36136201" w:rsidR="00CE2947" w:rsidRPr="003F63A1" w:rsidRDefault="00CE2947" w:rsidP="007E750B">
      <w:pPr>
        <w:spacing w:after="120" w:line="360" w:lineRule="auto"/>
        <w:ind w:left="708" w:right="567"/>
        <w:rPr>
          <w:sz w:val="26"/>
          <w:szCs w:val="26"/>
          <w:lang w:val="en-GB"/>
        </w:rPr>
      </w:pPr>
      <w:r w:rsidRPr="003F63A1">
        <w:rPr>
          <w:sz w:val="26"/>
          <w:szCs w:val="26"/>
          <w:lang w:val="en-GB"/>
        </w:rPr>
        <w:t>“Ukraine respectfully requests the Arbitration Panel to rule as follows:</w:t>
      </w:r>
    </w:p>
    <w:p w14:paraId="353BDF6C" w14:textId="35661EEF" w:rsidR="00CE2947" w:rsidRPr="003F63A1" w:rsidRDefault="00CE2947" w:rsidP="007E750B">
      <w:pPr>
        <w:spacing w:after="120" w:line="360" w:lineRule="auto"/>
        <w:ind w:left="708" w:right="567"/>
        <w:rPr>
          <w:sz w:val="26"/>
          <w:szCs w:val="26"/>
          <w:lang w:val="en-GB"/>
        </w:rPr>
      </w:pPr>
      <w:r w:rsidRPr="003F63A1">
        <w:rPr>
          <w:sz w:val="26"/>
          <w:szCs w:val="26"/>
          <w:lang w:val="en-GB"/>
        </w:rPr>
        <w:t>[…] 3.</w:t>
      </w:r>
      <w:r w:rsidRPr="003F63A1">
        <w:rPr>
          <w:sz w:val="26"/>
          <w:szCs w:val="26"/>
          <w:lang w:val="en-GB"/>
        </w:rPr>
        <w:tab/>
        <w:t>should the Arbitration Panel find that the European Union’s claim is not devoid of merit, to clarify what measures would be required to comply with the Association Agreement.”</w:t>
      </w:r>
    </w:p>
    <w:p w14:paraId="68273E25" w14:textId="2C795B85" w:rsidR="00CE2947" w:rsidRPr="003F63A1" w:rsidRDefault="0090551F" w:rsidP="0090551F">
      <w:pPr>
        <w:pStyle w:val="a3"/>
        <w:numPr>
          <w:ilvl w:val="0"/>
          <w:numId w:val="19"/>
        </w:numPr>
        <w:spacing w:after="120" w:line="360" w:lineRule="auto"/>
        <w:rPr>
          <w:lang w:val="en-GB"/>
        </w:rPr>
      </w:pPr>
      <w:r w:rsidRPr="7A7A869F">
        <w:rPr>
          <w:lang w:val="en-GB"/>
        </w:rPr>
        <w:t>The ambit of the present dispute settlement mechanism framed in Chapter 14 of the Association Agreement</w:t>
      </w:r>
      <w:r w:rsidR="00CE2947" w:rsidRPr="7A7A869F">
        <w:rPr>
          <w:lang w:val="en-GB"/>
        </w:rPr>
        <w:t xml:space="preserve"> provides for a possibility for the panel to make suggestions as to what measures would have been compatible, rather than to answer “yes” or </w:t>
      </w:r>
      <w:r w:rsidR="00CE2947" w:rsidRPr="7A7A869F">
        <w:rPr>
          <w:lang w:val="en-GB"/>
        </w:rPr>
        <w:lastRenderedPageBreak/>
        <w:t xml:space="preserve">“no” to the question whether </w:t>
      </w:r>
      <w:r w:rsidR="0044273C" w:rsidRPr="7A7A869F">
        <w:rPr>
          <w:lang w:val="en-GB"/>
        </w:rPr>
        <w:t xml:space="preserve">one of the </w:t>
      </w:r>
      <w:r w:rsidR="00CE2947" w:rsidRPr="7A7A869F">
        <w:rPr>
          <w:lang w:val="en-GB"/>
        </w:rPr>
        <w:t>measure</w:t>
      </w:r>
      <w:r w:rsidR="0044273C" w:rsidRPr="7A7A869F">
        <w:rPr>
          <w:lang w:val="en-GB"/>
        </w:rPr>
        <w:t>s</w:t>
      </w:r>
      <w:r w:rsidR="00CE2947" w:rsidRPr="7A7A869F">
        <w:rPr>
          <w:lang w:val="en-GB"/>
        </w:rPr>
        <w:t xml:space="preserve"> in dispute</w:t>
      </w:r>
      <w:r w:rsidR="0044273C" w:rsidRPr="7A7A869F">
        <w:rPr>
          <w:lang w:val="en-GB"/>
        </w:rPr>
        <w:t xml:space="preserve">, or both, is </w:t>
      </w:r>
      <w:r w:rsidR="00CE2947" w:rsidRPr="7A7A869F">
        <w:rPr>
          <w:lang w:val="en-GB"/>
        </w:rPr>
        <w:t>incompatible with the Association Agreement</w:t>
      </w:r>
      <w:r w:rsidR="00C70E08" w:rsidRPr="7A7A869F">
        <w:rPr>
          <w:lang w:val="en-GB"/>
        </w:rPr>
        <w:t>. In particular:</w:t>
      </w:r>
    </w:p>
    <w:p w14:paraId="244FF592" w14:textId="61F4D3A0" w:rsidR="00C70E08" w:rsidRPr="003F63A1" w:rsidRDefault="0090551F" w:rsidP="00C70E08">
      <w:pPr>
        <w:pStyle w:val="a3"/>
        <w:numPr>
          <w:ilvl w:val="1"/>
          <w:numId w:val="19"/>
        </w:numPr>
        <w:spacing w:after="120" w:line="360" w:lineRule="auto"/>
        <w:rPr>
          <w:lang w:val="en-GB"/>
        </w:rPr>
      </w:pPr>
      <w:r w:rsidRPr="7A7A869F">
        <w:rPr>
          <w:lang w:val="en-GB"/>
        </w:rPr>
        <w:t>Article 303 “Objective”</w:t>
      </w:r>
      <w:r w:rsidR="00085330" w:rsidRPr="7A7A869F">
        <w:rPr>
          <w:lang w:val="en-GB"/>
        </w:rPr>
        <w:t xml:space="preserve"> of the Association Agreement sets </w:t>
      </w:r>
      <w:r w:rsidR="00C70E08" w:rsidRPr="7A7A869F">
        <w:rPr>
          <w:lang w:val="en-GB"/>
        </w:rPr>
        <w:t xml:space="preserve">that </w:t>
      </w:r>
      <w:r w:rsidR="00193295" w:rsidRPr="7A7A869F">
        <w:rPr>
          <w:lang w:val="en-GB"/>
        </w:rPr>
        <w:t>“</w:t>
      </w:r>
      <w:r w:rsidR="00C70E08" w:rsidRPr="7A7A869F">
        <w:rPr>
          <w:lang w:val="en-GB"/>
        </w:rPr>
        <w:t>the objective of this Chapter [Dispute settlement] is to avoid and settle, in good faith, any dispute between the Parties concerning the application of provisions of this Agreement referred to in Article 304 of this Agreement and to arrive at a mutually agreed solution wherever possible”;</w:t>
      </w:r>
    </w:p>
    <w:p w14:paraId="0219263E" w14:textId="10074622" w:rsidR="00C70E08" w:rsidRPr="003F63A1" w:rsidRDefault="00743F7D" w:rsidP="0026502F">
      <w:pPr>
        <w:pStyle w:val="a3"/>
        <w:numPr>
          <w:ilvl w:val="1"/>
          <w:numId w:val="19"/>
        </w:numPr>
        <w:spacing w:after="120" w:line="360" w:lineRule="auto"/>
        <w:rPr>
          <w:lang w:val="en-GB"/>
        </w:rPr>
      </w:pPr>
      <w:r w:rsidRPr="7A7A869F">
        <w:rPr>
          <w:lang w:val="en-GB"/>
        </w:rPr>
        <w:t xml:space="preserve">Article 306(3) of the Association Agreement </w:t>
      </w:r>
      <w:r w:rsidR="004D3139" w:rsidRPr="7A7A869F">
        <w:rPr>
          <w:lang w:val="en-GB"/>
        </w:rPr>
        <w:t>provides for standard terms of reference of an a</w:t>
      </w:r>
      <w:r w:rsidRPr="7A7A869F">
        <w:rPr>
          <w:lang w:val="en-GB"/>
        </w:rPr>
        <w:t>rb</w:t>
      </w:r>
      <w:r w:rsidR="004D3139" w:rsidRPr="7A7A869F">
        <w:rPr>
          <w:lang w:val="en-GB"/>
        </w:rPr>
        <w:t xml:space="preserve">itration panel unless the Parties agree otherwise, which are “to examine the matter referred to in the request for establishment of the arbitration panel, </w:t>
      </w:r>
      <w:r w:rsidR="004D3139" w:rsidRPr="7A7A869F">
        <w:rPr>
          <w:b/>
          <w:lang w:val="en-GB"/>
        </w:rPr>
        <w:t xml:space="preserve">to rule on the compatibility of the measure in question </w:t>
      </w:r>
      <w:r w:rsidR="004D3139" w:rsidRPr="7A7A869F">
        <w:rPr>
          <w:lang w:val="en-GB"/>
        </w:rPr>
        <w:t xml:space="preserve">with the provisions of this Agreement referred to in Article 304 of this Agreement and to make a ruling in accordance with Article 310 of this Agreement” (emphasis added). </w:t>
      </w:r>
      <w:r w:rsidR="00B3133F" w:rsidRPr="7A7A869F">
        <w:rPr>
          <w:lang w:val="en-GB"/>
        </w:rPr>
        <w:t>By submitting their requests to establish this Arbitration Panel,</w:t>
      </w:r>
      <w:r w:rsidR="0026502F" w:rsidRPr="7A7A869F">
        <w:rPr>
          <w:rStyle w:val="af6"/>
          <w:lang w:val="en-GB"/>
        </w:rPr>
        <w:footnoteReference w:id="26"/>
      </w:r>
      <w:r w:rsidR="00B3133F" w:rsidRPr="7A7A869F">
        <w:rPr>
          <w:lang w:val="en-GB"/>
        </w:rPr>
        <w:t xml:space="preserve"> both Parties have agreed </w:t>
      </w:r>
      <w:r w:rsidR="0026502F" w:rsidRPr="7A7A869F">
        <w:rPr>
          <w:lang w:val="en-GB"/>
        </w:rPr>
        <w:t>that the standard terms of reference as set out in Article 306(3) of the Association Agreement will be used</w:t>
      </w:r>
      <w:r w:rsidR="00034106" w:rsidRPr="7A7A869F">
        <w:rPr>
          <w:lang w:val="en-GB"/>
        </w:rPr>
        <w:t xml:space="preserve">; and </w:t>
      </w:r>
    </w:p>
    <w:p w14:paraId="7B58EF14" w14:textId="780AB099" w:rsidR="00034106" w:rsidRPr="003F63A1" w:rsidRDefault="00034106" w:rsidP="0026502F">
      <w:pPr>
        <w:pStyle w:val="a3"/>
        <w:numPr>
          <w:ilvl w:val="1"/>
          <w:numId w:val="19"/>
        </w:numPr>
        <w:spacing w:after="120" w:line="360" w:lineRule="auto"/>
        <w:rPr>
          <w:lang w:val="en-GB"/>
        </w:rPr>
      </w:pPr>
      <w:r w:rsidRPr="7A7A869F">
        <w:rPr>
          <w:lang w:val="en-GB"/>
        </w:rPr>
        <w:t>Article 313 of the Association Agreement titled “Review of any measure taken to comply with the arbitration panel ruling”, which entitles the Parties to a particular dispute to bring the matter back to the same original arbitral panel if there is disagreement concerning the existence or the consistency of any measure taken by the Party complaining against to comply with the arbitration panel ruling</w:t>
      </w:r>
      <w:r w:rsidR="00B807D7" w:rsidRPr="7A7A869F">
        <w:rPr>
          <w:lang w:val="en-GB"/>
        </w:rPr>
        <w:t>”.</w:t>
      </w:r>
    </w:p>
    <w:p w14:paraId="7B53CEC3" w14:textId="2B9AE97B" w:rsidR="00B807D7" w:rsidRPr="003F63A1" w:rsidRDefault="00B807D7" w:rsidP="0090551F">
      <w:pPr>
        <w:pStyle w:val="a3"/>
        <w:numPr>
          <w:ilvl w:val="0"/>
          <w:numId w:val="19"/>
        </w:numPr>
        <w:spacing w:after="120" w:line="360" w:lineRule="auto"/>
        <w:rPr>
          <w:lang w:val="en-GB"/>
        </w:rPr>
      </w:pPr>
      <w:r w:rsidRPr="7A7A869F">
        <w:rPr>
          <w:lang w:val="en-GB"/>
        </w:rPr>
        <w:t>Reading the above three provisions together, Ukraine is of the view that for the purposes of procedural economy</w:t>
      </w:r>
      <w:r w:rsidR="00D52574" w:rsidRPr="7A7A869F">
        <w:rPr>
          <w:lang w:val="en-GB"/>
        </w:rPr>
        <w:t>,</w:t>
      </w:r>
      <w:r w:rsidRPr="7A7A869F">
        <w:rPr>
          <w:lang w:val="en-GB"/>
        </w:rPr>
        <w:t xml:space="preserve"> if this Arbitration Panel finds that the measures in dispute, i.e. the “2005 export ban” and the “2015 temporarily export ban”, </w:t>
      </w:r>
      <w:r w:rsidR="00D52574" w:rsidRPr="7A7A869F">
        <w:rPr>
          <w:lang w:val="en-GB"/>
        </w:rPr>
        <w:t xml:space="preserve">are incompatible with the Association Agreement, </w:t>
      </w:r>
      <w:r w:rsidR="00010279" w:rsidRPr="7A7A869F">
        <w:rPr>
          <w:lang w:val="en-GB"/>
        </w:rPr>
        <w:t xml:space="preserve">the Arbitration Panel </w:t>
      </w:r>
      <w:r w:rsidR="00D52574" w:rsidRPr="7A7A869F">
        <w:rPr>
          <w:lang w:val="en-GB"/>
        </w:rPr>
        <w:t>can also provide its suggestions or recommendations as to what measures would have been compatible.</w:t>
      </w:r>
    </w:p>
    <w:p w14:paraId="5BC4EAF1" w14:textId="3F1ABB08" w:rsidR="00D52574" w:rsidRPr="003F63A1" w:rsidRDefault="00D52574" w:rsidP="001F7972">
      <w:pPr>
        <w:pStyle w:val="2"/>
        <w:rPr>
          <w:rFonts w:cs="Times New Roman"/>
          <w:lang w:val="en-GB"/>
        </w:rPr>
      </w:pPr>
      <w:bookmarkStart w:id="32" w:name="_Toc52886573"/>
      <w:bookmarkStart w:id="33" w:name="_Toc52896878"/>
      <w:r w:rsidRPr="003F63A1">
        <w:rPr>
          <w:rFonts w:cs="Times New Roman"/>
          <w:lang w:val="en-GB"/>
        </w:rPr>
        <w:lastRenderedPageBreak/>
        <w:t>Question 3</w:t>
      </w:r>
      <w:r w:rsidR="001F7972" w:rsidRPr="003F63A1">
        <w:rPr>
          <w:rFonts w:cs="Times New Roman"/>
          <w:lang w:val="en-GB"/>
        </w:rPr>
        <w:t xml:space="preserve"> – concerning Article 35’s entry into force</w:t>
      </w:r>
      <w:bookmarkEnd w:id="32"/>
      <w:bookmarkEnd w:id="33"/>
      <w:r w:rsidR="001F7972" w:rsidRPr="003F63A1">
        <w:rPr>
          <w:rFonts w:cs="Times New Roman"/>
          <w:lang w:val="en-GB"/>
        </w:rPr>
        <w:t xml:space="preserve"> </w:t>
      </w:r>
    </w:p>
    <w:p w14:paraId="48CC9071" w14:textId="3B5D5CBB" w:rsidR="00D52574" w:rsidRPr="003F63A1" w:rsidRDefault="00D52574" w:rsidP="00D80B8A">
      <w:pPr>
        <w:spacing w:after="120"/>
        <w:jc w:val="both"/>
        <w:rPr>
          <w:sz w:val="26"/>
          <w:szCs w:val="26"/>
          <w:lang w:val="en-GB"/>
        </w:rPr>
      </w:pPr>
      <w:r w:rsidRPr="003F63A1">
        <w:rPr>
          <w:b/>
          <w:bCs/>
          <w:sz w:val="26"/>
          <w:szCs w:val="26"/>
          <w:lang w:val="en-GB"/>
        </w:rPr>
        <w:t>MR Giorgio SACERDOTI</w:t>
      </w:r>
      <w:r w:rsidRPr="003F63A1">
        <w:rPr>
          <w:sz w:val="26"/>
          <w:szCs w:val="26"/>
          <w:lang w:val="en-GB"/>
        </w:rPr>
        <w:t>: “</w:t>
      </w:r>
      <w:r w:rsidR="004226BD" w:rsidRPr="003F63A1">
        <w:rPr>
          <w:sz w:val="26"/>
          <w:szCs w:val="26"/>
          <w:lang w:val="en-GB"/>
        </w:rPr>
        <w:t xml:space="preserve">Question three, principally to the </w:t>
      </w:r>
      <w:r w:rsidR="00A33AF0">
        <w:rPr>
          <w:sz w:val="26"/>
          <w:szCs w:val="26"/>
          <w:lang w:val="en-GB"/>
        </w:rPr>
        <w:t>[</w:t>
      </w:r>
      <w:r w:rsidR="003F63A1" w:rsidRPr="003F63A1">
        <w:rPr>
          <w:sz w:val="26"/>
          <w:szCs w:val="26"/>
          <w:lang w:val="en-GB"/>
        </w:rPr>
        <w:t>European Union</w:t>
      </w:r>
      <w:r w:rsidR="00A33AF0">
        <w:rPr>
          <w:sz w:val="26"/>
          <w:szCs w:val="26"/>
          <w:lang w:val="en-GB"/>
        </w:rPr>
        <w:t>]</w:t>
      </w:r>
      <w:r w:rsidR="004226BD" w:rsidRPr="003F63A1">
        <w:rPr>
          <w:sz w:val="26"/>
          <w:szCs w:val="26"/>
          <w:lang w:val="en-GB"/>
        </w:rPr>
        <w:t xml:space="preserve">, in respect of Ukraine’s argument in </w:t>
      </w:r>
      <w:r w:rsidR="00010279" w:rsidRPr="003F63A1">
        <w:rPr>
          <w:sz w:val="26"/>
          <w:szCs w:val="26"/>
          <w:lang w:val="en-GB"/>
        </w:rPr>
        <w:t xml:space="preserve">the </w:t>
      </w:r>
      <w:r w:rsidR="004226BD" w:rsidRPr="003F63A1">
        <w:rPr>
          <w:sz w:val="26"/>
          <w:szCs w:val="26"/>
          <w:lang w:val="en-GB"/>
        </w:rPr>
        <w:t>section of its oral statement that Article 35 is not in force until the end of the transitional period and that the 2015 transitory export ban is therefore not in breach of that provision.</w:t>
      </w:r>
      <w:r w:rsidRPr="003F63A1">
        <w:rPr>
          <w:sz w:val="26"/>
          <w:szCs w:val="26"/>
          <w:lang w:val="en-GB"/>
        </w:rPr>
        <w:t>”</w:t>
      </w:r>
    </w:p>
    <w:p w14:paraId="0F36D7A1" w14:textId="07BB58BD" w:rsidR="00FD069D" w:rsidRPr="003F63A1" w:rsidRDefault="00FD069D" w:rsidP="00131288">
      <w:pPr>
        <w:pStyle w:val="a3"/>
        <w:numPr>
          <w:ilvl w:val="0"/>
          <w:numId w:val="19"/>
        </w:numPr>
        <w:spacing w:after="120" w:line="360" w:lineRule="auto"/>
        <w:contextualSpacing w:val="0"/>
        <w:rPr>
          <w:lang w:val="en-GB"/>
        </w:rPr>
      </w:pPr>
      <w:r w:rsidRPr="7A7A869F">
        <w:rPr>
          <w:lang w:val="en-GB"/>
        </w:rPr>
        <w:t xml:space="preserve">The Arbitration panel has put a question regarding the concept of </w:t>
      </w:r>
      <w:r w:rsidR="009D2D08" w:rsidRPr="7A7A869F">
        <w:rPr>
          <w:lang w:val="en-GB"/>
        </w:rPr>
        <w:t>“</w:t>
      </w:r>
      <w:r w:rsidRPr="7A7A869F">
        <w:rPr>
          <w:lang w:val="en-GB"/>
        </w:rPr>
        <w:t>progressive establishment</w:t>
      </w:r>
      <w:r w:rsidR="009D2D08" w:rsidRPr="7A7A869F">
        <w:rPr>
          <w:lang w:val="en-GB"/>
        </w:rPr>
        <w:t>”</w:t>
      </w:r>
      <w:r w:rsidRPr="7A7A869F">
        <w:rPr>
          <w:lang w:val="en-GB"/>
        </w:rPr>
        <w:t xml:space="preserve"> of the free</w:t>
      </w:r>
      <w:r w:rsidR="00CE7F10" w:rsidRPr="7A7A869F">
        <w:rPr>
          <w:lang w:val="en-GB"/>
        </w:rPr>
        <w:t>-</w:t>
      </w:r>
      <w:r w:rsidRPr="7A7A869F">
        <w:rPr>
          <w:lang w:val="en-GB"/>
        </w:rPr>
        <w:t xml:space="preserve">trade area between Ukraine and the </w:t>
      </w:r>
      <w:r w:rsidR="009D2D08" w:rsidRPr="7A7A869F">
        <w:rPr>
          <w:lang w:val="en-GB"/>
        </w:rPr>
        <w:t>European Union</w:t>
      </w:r>
      <w:r w:rsidRPr="7A7A869F">
        <w:rPr>
          <w:lang w:val="en-GB"/>
        </w:rPr>
        <w:t xml:space="preserve">, over a period of 10 years, as set out in the Association Agreement, and has asked the Parties to precise their views in this respect. More precisely, it is queried whether Ukraine’s interpretation of </w:t>
      </w:r>
      <w:r w:rsidR="009450EE" w:rsidRPr="7A7A869F">
        <w:rPr>
          <w:lang w:val="en-GB"/>
        </w:rPr>
        <w:t>A</w:t>
      </w:r>
      <w:r w:rsidRPr="7A7A869F">
        <w:rPr>
          <w:lang w:val="en-GB"/>
        </w:rPr>
        <w:t xml:space="preserve">rticle 35 of the Association Agreement as creating obligations upon which an arbitration proceeding could be engaged only at the end of the </w:t>
      </w:r>
      <w:r w:rsidR="00C86E4C" w:rsidRPr="7A7A869F">
        <w:rPr>
          <w:lang w:val="en-GB"/>
        </w:rPr>
        <w:t>10-year</w:t>
      </w:r>
      <w:r w:rsidRPr="7A7A869F">
        <w:rPr>
          <w:lang w:val="en-GB"/>
        </w:rPr>
        <w:t xml:space="preserve"> period, could be further discussed.</w:t>
      </w:r>
    </w:p>
    <w:p w14:paraId="44BA21E8" w14:textId="5DE5E9D6" w:rsidR="00FD069D" w:rsidRPr="003F63A1" w:rsidRDefault="00FD069D" w:rsidP="00131288">
      <w:pPr>
        <w:pStyle w:val="a3"/>
        <w:numPr>
          <w:ilvl w:val="0"/>
          <w:numId w:val="19"/>
        </w:numPr>
        <w:spacing w:after="120" w:line="360" w:lineRule="auto"/>
        <w:contextualSpacing w:val="0"/>
        <w:rPr>
          <w:lang w:val="en-GB"/>
        </w:rPr>
      </w:pPr>
      <w:r w:rsidRPr="7A7A869F">
        <w:rPr>
          <w:lang w:val="en-GB"/>
        </w:rPr>
        <w:t xml:space="preserve">To recall, Ukraine has explained that the text of Article 35 of the </w:t>
      </w:r>
      <w:r w:rsidR="009450EE" w:rsidRPr="7A7A869F">
        <w:rPr>
          <w:lang w:val="en-GB"/>
        </w:rPr>
        <w:t>Association Agreement</w:t>
      </w:r>
      <w:r w:rsidRPr="7A7A869F">
        <w:rPr>
          <w:lang w:val="en-GB"/>
        </w:rPr>
        <w:t xml:space="preserve">, read according to </w:t>
      </w:r>
      <w:r w:rsidR="00C86E4C" w:rsidRPr="7A7A869F">
        <w:rPr>
          <w:lang w:val="en-GB"/>
        </w:rPr>
        <w:t>its</w:t>
      </w:r>
      <w:r w:rsidRPr="7A7A869F">
        <w:rPr>
          <w:lang w:val="en-GB"/>
        </w:rPr>
        <w:t xml:space="preserve"> ordinary meaning, in context, and in light of it the object and purpose of the Association Agreement leads to the conclusion that </w:t>
      </w:r>
      <w:r w:rsidRPr="7A7A869F">
        <w:rPr>
          <w:i/>
          <w:lang w:val="en-GB"/>
        </w:rPr>
        <w:t>this</w:t>
      </w:r>
      <w:r w:rsidRPr="7A7A869F">
        <w:rPr>
          <w:lang w:val="en-GB"/>
        </w:rPr>
        <w:t xml:space="preserve"> provision creates binding obligations at the expiry of the 10 years period unless the Parties agree to see its binding effect at an earlier date.</w:t>
      </w:r>
      <w:r w:rsidR="009450EE" w:rsidRPr="7A7A869F">
        <w:rPr>
          <w:rStyle w:val="af6"/>
          <w:lang w:val="en-GB"/>
        </w:rPr>
        <w:footnoteReference w:id="27"/>
      </w:r>
    </w:p>
    <w:p w14:paraId="0A7B5B26" w14:textId="2C9E3BAA" w:rsidR="00FD069D" w:rsidRPr="003F63A1" w:rsidRDefault="00FD069D" w:rsidP="00131288">
      <w:pPr>
        <w:pStyle w:val="a3"/>
        <w:numPr>
          <w:ilvl w:val="0"/>
          <w:numId w:val="19"/>
        </w:numPr>
        <w:spacing w:after="120" w:line="360" w:lineRule="auto"/>
        <w:contextualSpacing w:val="0"/>
        <w:rPr>
          <w:lang w:val="en-GB"/>
        </w:rPr>
      </w:pPr>
      <w:r w:rsidRPr="7A7A869F">
        <w:rPr>
          <w:lang w:val="en-GB"/>
        </w:rPr>
        <w:t xml:space="preserve">The </w:t>
      </w:r>
      <w:r w:rsidR="00240523" w:rsidRPr="7A7A869F">
        <w:rPr>
          <w:lang w:val="en-GB"/>
        </w:rPr>
        <w:t>European Union</w:t>
      </w:r>
      <w:r w:rsidR="00240523" w:rsidRPr="7A7A869F" w:rsidDel="00240523">
        <w:rPr>
          <w:lang w:val="en-GB"/>
        </w:rPr>
        <w:t xml:space="preserve"> </w:t>
      </w:r>
      <w:r w:rsidRPr="7A7A869F">
        <w:rPr>
          <w:lang w:val="en-GB"/>
        </w:rPr>
        <w:t>disagrees and considers that since no precision is given in the text of Article 35</w:t>
      </w:r>
      <w:r w:rsidR="004E5BEF" w:rsidRPr="7A7A869F">
        <w:rPr>
          <w:lang w:val="en-GB"/>
        </w:rPr>
        <w:t xml:space="preserve"> of the Association Agreement</w:t>
      </w:r>
      <w:r w:rsidRPr="7A7A869F">
        <w:rPr>
          <w:lang w:val="en-GB"/>
        </w:rPr>
        <w:t xml:space="preserve"> as to the date of its entry into force, it is deemed to be in force upon the entry into force of the Association Agreement.</w:t>
      </w:r>
    </w:p>
    <w:p w14:paraId="5B8919F3" w14:textId="5921D6E3" w:rsidR="00FD069D" w:rsidRPr="003F63A1" w:rsidRDefault="00FD069D" w:rsidP="00131288">
      <w:pPr>
        <w:pStyle w:val="a3"/>
        <w:numPr>
          <w:ilvl w:val="0"/>
          <w:numId w:val="19"/>
        </w:numPr>
        <w:spacing w:after="120" w:line="360" w:lineRule="auto"/>
        <w:contextualSpacing w:val="0"/>
        <w:rPr>
          <w:lang w:val="en-GB"/>
        </w:rPr>
      </w:pPr>
      <w:r w:rsidRPr="7A7A869F">
        <w:rPr>
          <w:lang w:val="en-GB"/>
        </w:rPr>
        <w:t xml:space="preserve">The </w:t>
      </w:r>
      <w:r w:rsidR="00240523" w:rsidRPr="7A7A869F">
        <w:rPr>
          <w:lang w:val="en-GB"/>
        </w:rPr>
        <w:t>European Union</w:t>
      </w:r>
      <w:r w:rsidR="00240523" w:rsidRPr="7A7A869F" w:rsidDel="00240523">
        <w:rPr>
          <w:lang w:val="en-GB"/>
        </w:rPr>
        <w:t xml:space="preserve"> </w:t>
      </w:r>
      <w:r w:rsidRPr="7A7A869F">
        <w:rPr>
          <w:lang w:val="en-GB"/>
        </w:rPr>
        <w:t>argued during the hearings that if it were not the case, that would mean that virtually all the articles on trade in good</w:t>
      </w:r>
      <w:r w:rsidR="00D3481D" w:rsidRPr="7A7A869F">
        <w:rPr>
          <w:lang w:val="en-GB"/>
        </w:rPr>
        <w:t xml:space="preserve">, which do not contain the words “Upon entry into force of this agreement”, </w:t>
      </w:r>
      <w:r w:rsidRPr="7A7A869F">
        <w:rPr>
          <w:lang w:val="en-GB"/>
        </w:rPr>
        <w:t>would be deemed to enter into force only after a 10</w:t>
      </w:r>
      <w:r w:rsidR="00D3481D" w:rsidRPr="7A7A869F">
        <w:rPr>
          <w:lang w:val="en-GB"/>
        </w:rPr>
        <w:t>-</w:t>
      </w:r>
      <w:r w:rsidRPr="7A7A869F">
        <w:rPr>
          <w:lang w:val="en-GB"/>
        </w:rPr>
        <w:t xml:space="preserve">year period, which is manifestly </w:t>
      </w:r>
      <w:r w:rsidR="00D3481D" w:rsidRPr="7A7A869F">
        <w:rPr>
          <w:lang w:val="en-GB"/>
        </w:rPr>
        <w:t>not a sustainable interpretation</w:t>
      </w:r>
      <w:r w:rsidRPr="7A7A869F">
        <w:rPr>
          <w:lang w:val="en-GB"/>
        </w:rPr>
        <w:t xml:space="preserve">. The </w:t>
      </w:r>
      <w:r w:rsidR="00240523" w:rsidRPr="7A7A869F">
        <w:rPr>
          <w:lang w:val="en-GB"/>
        </w:rPr>
        <w:t>European Union</w:t>
      </w:r>
      <w:r w:rsidR="00240523" w:rsidRPr="7A7A869F" w:rsidDel="00240523">
        <w:rPr>
          <w:lang w:val="en-GB"/>
        </w:rPr>
        <w:t xml:space="preserve"> </w:t>
      </w:r>
      <w:r w:rsidR="00D3481D" w:rsidRPr="7A7A869F">
        <w:rPr>
          <w:lang w:val="en-GB"/>
        </w:rPr>
        <w:t xml:space="preserve">illustrated this point in arguing </w:t>
      </w:r>
      <w:r w:rsidRPr="7A7A869F">
        <w:rPr>
          <w:lang w:val="en-GB"/>
        </w:rPr>
        <w:t xml:space="preserve">that Ukraine’s conduct </w:t>
      </w:r>
      <w:r w:rsidR="00D3481D" w:rsidRPr="7A7A869F">
        <w:rPr>
          <w:lang w:val="en-GB"/>
        </w:rPr>
        <w:t xml:space="preserve">would </w:t>
      </w:r>
      <w:r w:rsidRPr="7A7A869F">
        <w:rPr>
          <w:lang w:val="en-GB"/>
        </w:rPr>
        <w:t xml:space="preserve">plainly demonstrate that Ukraine’s interpretation is unconvincing because Ukraine itself </w:t>
      </w:r>
      <w:r w:rsidR="00D3481D" w:rsidRPr="7A7A869F">
        <w:rPr>
          <w:lang w:val="en-GB"/>
        </w:rPr>
        <w:t xml:space="preserve">initiated discussions with </w:t>
      </w:r>
      <w:r w:rsidRPr="7A7A869F">
        <w:rPr>
          <w:lang w:val="en-GB"/>
        </w:rPr>
        <w:t xml:space="preserve">the </w:t>
      </w:r>
      <w:r w:rsidR="00240523" w:rsidRPr="7A7A869F">
        <w:rPr>
          <w:lang w:val="en-GB"/>
        </w:rPr>
        <w:t>European Union</w:t>
      </w:r>
      <w:r w:rsidR="00240523" w:rsidRPr="7A7A869F" w:rsidDel="00240523">
        <w:rPr>
          <w:lang w:val="en-GB"/>
        </w:rPr>
        <w:t xml:space="preserve"> </w:t>
      </w:r>
      <w:r w:rsidR="00D3481D" w:rsidRPr="7A7A869F">
        <w:rPr>
          <w:lang w:val="en-GB"/>
        </w:rPr>
        <w:t xml:space="preserve">in order to </w:t>
      </w:r>
      <w:r w:rsidR="00D3481D" w:rsidRPr="7A7A869F">
        <w:rPr>
          <w:lang w:val="en-GB"/>
        </w:rPr>
        <w:lastRenderedPageBreak/>
        <w:t xml:space="preserve">obtain </w:t>
      </w:r>
      <w:r w:rsidRPr="7A7A869F">
        <w:rPr>
          <w:lang w:val="en-GB"/>
        </w:rPr>
        <w:t>accelerat</w:t>
      </w:r>
      <w:r w:rsidR="00D3481D" w:rsidRPr="7A7A869F">
        <w:rPr>
          <w:lang w:val="en-GB"/>
        </w:rPr>
        <w:t>ion</w:t>
      </w:r>
      <w:r w:rsidR="005875B5" w:rsidRPr="7A7A869F">
        <w:rPr>
          <w:lang w:val="en-GB"/>
        </w:rPr>
        <w:t xml:space="preserve"> of the rhythm of </w:t>
      </w:r>
      <w:r w:rsidRPr="7A7A869F">
        <w:rPr>
          <w:lang w:val="en-GB"/>
        </w:rPr>
        <w:t xml:space="preserve">the </w:t>
      </w:r>
      <w:r w:rsidR="005875B5" w:rsidRPr="7A7A869F">
        <w:rPr>
          <w:lang w:val="en-GB"/>
        </w:rPr>
        <w:t xml:space="preserve">progressive </w:t>
      </w:r>
      <w:r w:rsidRPr="7A7A869F">
        <w:rPr>
          <w:lang w:val="en-GB"/>
        </w:rPr>
        <w:t xml:space="preserve">lowering of its duties on </w:t>
      </w:r>
      <w:r w:rsidR="009E27B3" w:rsidRPr="7A7A869F">
        <w:rPr>
          <w:lang w:val="en-GB"/>
        </w:rPr>
        <w:t>the</w:t>
      </w:r>
      <w:r w:rsidRPr="7A7A869F">
        <w:rPr>
          <w:lang w:val="en-GB"/>
        </w:rPr>
        <w:t xml:space="preserve"> importation of goods from Ukraine.</w:t>
      </w:r>
    </w:p>
    <w:p w14:paraId="0D1C780D" w14:textId="75F88EB2" w:rsidR="00FD069D" w:rsidRPr="003F63A1" w:rsidRDefault="00FD069D" w:rsidP="00131288">
      <w:pPr>
        <w:pStyle w:val="a3"/>
        <w:numPr>
          <w:ilvl w:val="0"/>
          <w:numId w:val="19"/>
        </w:numPr>
        <w:spacing w:after="120" w:line="360" w:lineRule="auto"/>
        <w:contextualSpacing w:val="0"/>
        <w:rPr>
          <w:lang w:val="en-GB"/>
        </w:rPr>
      </w:pPr>
      <w:r w:rsidRPr="7A7A869F">
        <w:rPr>
          <w:lang w:val="en-GB"/>
        </w:rPr>
        <w:t>Ukraine is of the view that a correct reading of the Association Agreement will suffice to clarify these points.</w:t>
      </w:r>
    </w:p>
    <w:p w14:paraId="72DE3BA8" w14:textId="293A9CCE" w:rsidR="005875B5" w:rsidRPr="003F63A1" w:rsidRDefault="005875B5" w:rsidP="00131288">
      <w:pPr>
        <w:pStyle w:val="a3"/>
        <w:numPr>
          <w:ilvl w:val="0"/>
          <w:numId w:val="19"/>
        </w:numPr>
        <w:spacing w:after="120" w:line="360" w:lineRule="auto"/>
        <w:contextualSpacing w:val="0"/>
        <w:rPr>
          <w:lang w:val="en-GB"/>
        </w:rPr>
      </w:pPr>
      <w:r w:rsidRPr="7A7A869F">
        <w:rPr>
          <w:lang w:val="en-GB"/>
        </w:rPr>
        <w:t xml:space="preserve">It is opportune to begin with the European Union’s argument just mentioned regarding the discussions initiated by Ukraine for </w:t>
      </w:r>
      <w:r w:rsidR="00B96ADE" w:rsidRPr="7A7A869F">
        <w:rPr>
          <w:lang w:val="en-GB"/>
        </w:rPr>
        <w:t xml:space="preserve">the </w:t>
      </w:r>
      <w:r w:rsidRPr="7A7A869F">
        <w:rPr>
          <w:lang w:val="en-GB"/>
        </w:rPr>
        <w:t>acceleration of the lowering of the European Union custom</w:t>
      </w:r>
      <w:r w:rsidR="00B96ADE" w:rsidRPr="7A7A869F">
        <w:rPr>
          <w:lang w:val="en-GB"/>
        </w:rPr>
        <w:t>s</w:t>
      </w:r>
      <w:r w:rsidRPr="7A7A869F">
        <w:rPr>
          <w:lang w:val="en-GB"/>
        </w:rPr>
        <w:t xml:space="preserve"> duties, because it is illustrative of Ukraine’s point. Indeed, while the European Union argues that Ukraine’s conduct contradicts its interpretation of Article 35</w:t>
      </w:r>
      <w:r w:rsidR="00314AB7" w:rsidRPr="7A7A869F">
        <w:rPr>
          <w:lang w:val="en-GB"/>
        </w:rPr>
        <w:t xml:space="preserve"> of the Association Agreement</w:t>
      </w:r>
      <w:r w:rsidRPr="7A7A869F">
        <w:rPr>
          <w:lang w:val="en-GB"/>
        </w:rPr>
        <w:t>, this is the contrary that a simple reading of Article 29(4) of the Association Agreement demonstrates. According to this provision:</w:t>
      </w:r>
      <w:r w:rsidR="00314AB7" w:rsidRPr="7A7A869F">
        <w:rPr>
          <w:lang w:val="en-GB"/>
        </w:rPr>
        <w:t xml:space="preserve"> </w:t>
      </w:r>
      <w:r w:rsidRPr="7A7A869F">
        <w:rPr>
          <w:lang w:val="en-GB"/>
        </w:rPr>
        <w:t>“[f]</w:t>
      </w:r>
      <w:r w:rsidRPr="7A7A869F">
        <w:rPr>
          <w:lang w:val="en-US"/>
        </w:rPr>
        <w:t>ive years after the entry into force of this Agreement, at the request of either Party, the Parties shall consult one another in order to consider accelerating and broadening the scope of the elimination of customs duties on trade between themselves</w:t>
      </w:r>
      <w:r w:rsidR="00AB29DD" w:rsidRPr="7A7A869F">
        <w:rPr>
          <w:lang w:val="en-US"/>
        </w:rPr>
        <w:t xml:space="preserve"> [</w:t>
      </w:r>
      <w:r w:rsidRPr="7A7A869F">
        <w:rPr>
          <w:lang w:val="en-US"/>
        </w:rPr>
        <w:t>…</w:t>
      </w:r>
      <w:r w:rsidR="00AB29DD" w:rsidRPr="7A7A869F">
        <w:rPr>
          <w:lang w:val="en-US"/>
        </w:rPr>
        <w:t>]</w:t>
      </w:r>
      <w:r w:rsidRPr="7A7A869F">
        <w:rPr>
          <w:lang w:val="en-US"/>
        </w:rPr>
        <w:t>”. Thus, the European Union example does not contradict at all, but to the contrary confirms</w:t>
      </w:r>
      <w:r w:rsidR="00914A53" w:rsidRPr="7A7A869F">
        <w:rPr>
          <w:lang w:val="en-US"/>
        </w:rPr>
        <w:t>,</w:t>
      </w:r>
      <w:r w:rsidRPr="7A7A869F">
        <w:rPr>
          <w:lang w:val="en-US"/>
        </w:rPr>
        <w:t xml:space="preserve"> Ukraine’s view that the entry into force of the different provisions of the Association Agreement during the 10-year period depends on what these provisions say. Here, Article 29(4) provides that Ukraine can ask for </w:t>
      </w:r>
      <w:r w:rsidR="00B96ADE" w:rsidRPr="7A7A869F">
        <w:rPr>
          <w:lang w:val="en-US"/>
        </w:rPr>
        <w:t xml:space="preserve">the </w:t>
      </w:r>
      <w:r w:rsidRPr="7A7A869F">
        <w:rPr>
          <w:lang w:val="en-US"/>
        </w:rPr>
        <w:t>acceleration of the lowering of the custom</w:t>
      </w:r>
      <w:r w:rsidR="00571FC1" w:rsidRPr="7A7A869F">
        <w:rPr>
          <w:lang w:val="en-US"/>
        </w:rPr>
        <w:t>s</w:t>
      </w:r>
      <w:r w:rsidRPr="7A7A869F">
        <w:rPr>
          <w:lang w:val="en-US"/>
        </w:rPr>
        <w:t xml:space="preserve"> duties five years after the entry into force of the Association Agreement, and it is</w:t>
      </w:r>
      <w:r w:rsidR="00B96ADE" w:rsidRPr="7A7A869F">
        <w:rPr>
          <w:lang w:val="en-US"/>
        </w:rPr>
        <w:t>,</w:t>
      </w:r>
      <w:r w:rsidRPr="7A7A869F">
        <w:rPr>
          <w:lang w:val="en-US"/>
        </w:rPr>
        <w:t xml:space="preserve"> therefore</w:t>
      </w:r>
      <w:r w:rsidR="00B96ADE" w:rsidRPr="7A7A869F">
        <w:rPr>
          <w:lang w:val="en-US"/>
        </w:rPr>
        <w:t>,</w:t>
      </w:r>
      <w:r w:rsidRPr="7A7A869F">
        <w:rPr>
          <w:lang w:val="en-US"/>
        </w:rPr>
        <w:t xml:space="preserve"> nothing but normal for Ukraine to begin talks in this respect in 2020.</w:t>
      </w:r>
      <w:r w:rsidR="0083639D" w:rsidRPr="7A7A869F">
        <w:rPr>
          <w:lang w:val="uk-UA"/>
        </w:rPr>
        <w:t xml:space="preserve"> </w:t>
      </w:r>
      <w:r w:rsidR="00B622A0" w:rsidRPr="7A7A869F">
        <w:rPr>
          <w:lang w:val="en-GB"/>
        </w:rPr>
        <w:t xml:space="preserve">Article 35 </w:t>
      </w:r>
      <w:r w:rsidR="00B622A0" w:rsidRPr="7A7A869F">
        <w:rPr>
          <w:lang w:val="en-US"/>
        </w:rPr>
        <w:t>of the Association Agreement</w:t>
      </w:r>
      <w:r w:rsidR="00B622A0" w:rsidRPr="7A7A869F">
        <w:rPr>
          <w:lang w:val="en-GB"/>
        </w:rPr>
        <w:t xml:space="preserve"> does not say that it applies “upon entry into force of the Association Agreement”. There is, therefore, no indication in the text itself of the moment of its entry into operation. </w:t>
      </w:r>
      <w:r w:rsidR="00D54085" w:rsidRPr="7A7A869F">
        <w:rPr>
          <w:lang w:val="en-GB"/>
        </w:rPr>
        <w:t>However</w:t>
      </w:r>
      <w:r w:rsidR="00B622A0" w:rsidRPr="7A7A869F">
        <w:rPr>
          <w:lang w:val="en-GB"/>
        </w:rPr>
        <w:t xml:space="preserve">, as we have seen, the context confirms that, when a provision is expected to be implemented “upon entry into force of the Agreement”, it is expressly stated, in black letters. Thus, since the obligation of Article 35 does </w:t>
      </w:r>
      <w:r w:rsidR="00B622A0" w:rsidRPr="7A7A869F">
        <w:rPr>
          <w:i/>
          <w:lang w:val="en-GB"/>
        </w:rPr>
        <w:t>not</w:t>
      </w:r>
      <w:r w:rsidR="00B622A0" w:rsidRPr="7A7A869F">
        <w:rPr>
          <w:lang w:val="en-GB"/>
        </w:rPr>
        <w:t xml:space="preserve"> take its full legal effect “upon entry into force” of the Agreement,</w:t>
      </w:r>
      <w:r w:rsidR="00B622A0" w:rsidRPr="7A7A869F">
        <w:rPr>
          <w:lang w:val="uk-UA"/>
        </w:rPr>
        <w:t xml:space="preserve"> </w:t>
      </w:r>
      <w:r w:rsidR="00B622A0" w:rsidRPr="7A7A869F">
        <w:rPr>
          <w:lang w:val="en-US"/>
        </w:rPr>
        <w:t>that means that the Party has som</w:t>
      </w:r>
      <w:r w:rsidR="007555C7" w:rsidRPr="7A7A869F">
        <w:rPr>
          <w:lang w:val="en-US"/>
        </w:rPr>
        <w:t xml:space="preserve">e period to </w:t>
      </w:r>
      <w:r w:rsidR="30712502" w:rsidRPr="7A7A869F">
        <w:rPr>
          <w:lang w:val="en-US"/>
        </w:rPr>
        <w:t xml:space="preserve">put </w:t>
      </w:r>
      <w:r w:rsidR="007555C7" w:rsidRPr="7A7A869F">
        <w:rPr>
          <w:lang w:val="en-US"/>
        </w:rPr>
        <w:t xml:space="preserve">everything in </w:t>
      </w:r>
      <w:r w:rsidR="00FC6C3E" w:rsidRPr="7A7A869F">
        <w:rPr>
          <w:lang w:val="en-US"/>
        </w:rPr>
        <w:t>place</w:t>
      </w:r>
      <w:r w:rsidR="007555C7" w:rsidRPr="7A7A869F">
        <w:rPr>
          <w:lang w:val="en-US"/>
        </w:rPr>
        <w:t>,</w:t>
      </w:r>
      <w:r w:rsidR="00B622A0" w:rsidRPr="7A7A869F">
        <w:rPr>
          <w:lang w:val="en-GB"/>
        </w:rPr>
        <w:t xml:space="preserve"> it does so at the expiry of the 10-year period. And this interpretation is fully consistent with the object and purpose of the Association </w:t>
      </w:r>
      <w:r w:rsidR="00B622A0" w:rsidRPr="7A7A869F">
        <w:rPr>
          <w:lang w:val="en-GB"/>
        </w:rPr>
        <w:lastRenderedPageBreak/>
        <w:t>Agreement, which is the progressive establishment of a free-trade area, to be completed in 5 years from now.</w:t>
      </w:r>
    </w:p>
    <w:p w14:paraId="3062D4D5" w14:textId="24A039EB" w:rsidR="00E330F2" w:rsidRPr="003F63A1" w:rsidRDefault="00E330F2" w:rsidP="001F7972">
      <w:pPr>
        <w:pStyle w:val="2"/>
        <w:rPr>
          <w:rFonts w:cs="Times New Roman"/>
          <w:lang w:val="en-GB"/>
        </w:rPr>
      </w:pPr>
      <w:bookmarkStart w:id="34" w:name="_Toc52886574"/>
      <w:bookmarkStart w:id="35" w:name="_Toc52896879"/>
      <w:r w:rsidRPr="003F63A1">
        <w:rPr>
          <w:rFonts w:cs="Times New Roman"/>
          <w:lang w:val="en-GB"/>
        </w:rPr>
        <w:t>Question 4</w:t>
      </w:r>
      <w:r w:rsidR="001F7972" w:rsidRPr="003F63A1">
        <w:rPr>
          <w:rFonts w:cs="Times New Roman"/>
          <w:lang w:val="en-GB"/>
        </w:rPr>
        <w:t xml:space="preserve"> – On the admissibility of the Earthsight Report</w:t>
      </w:r>
      <w:bookmarkEnd w:id="34"/>
      <w:bookmarkEnd w:id="35"/>
    </w:p>
    <w:p w14:paraId="3C9E9804" w14:textId="06B7102F" w:rsidR="00E330F2" w:rsidRPr="00355C83" w:rsidRDefault="00E330F2" w:rsidP="00D80B8A">
      <w:pPr>
        <w:spacing w:after="120"/>
        <w:jc w:val="both"/>
        <w:rPr>
          <w:sz w:val="26"/>
          <w:szCs w:val="26"/>
          <w:lang w:val="en-GB"/>
        </w:rPr>
      </w:pPr>
      <w:r w:rsidRPr="003F63A1">
        <w:rPr>
          <w:b/>
          <w:bCs/>
          <w:sz w:val="26"/>
          <w:szCs w:val="26"/>
          <w:lang w:val="en-GB"/>
        </w:rPr>
        <w:t>MR Giorgio SACERDOTI</w:t>
      </w:r>
      <w:r w:rsidRPr="003F63A1">
        <w:rPr>
          <w:sz w:val="26"/>
          <w:szCs w:val="26"/>
          <w:lang w:val="en-GB"/>
        </w:rPr>
        <w:t xml:space="preserve">: “Then, there was a question and an exemption by </w:t>
      </w:r>
      <w:r w:rsidR="00A33AF0">
        <w:rPr>
          <w:sz w:val="26"/>
          <w:szCs w:val="26"/>
          <w:lang w:val="en-GB"/>
        </w:rPr>
        <w:t>[</w:t>
      </w:r>
      <w:r w:rsidR="003F63A1" w:rsidRPr="003F63A1">
        <w:rPr>
          <w:sz w:val="26"/>
          <w:szCs w:val="26"/>
          <w:lang w:val="en-GB"/>
        </w:rPr>
        <w:t>European Union</w:t>
      </w:r>
      <w:r w:rsidR="00A33AF0">
        <w:rPr>
          <w:sz w:val="26"/>
          <w:szCs w:val="26"/>
          <w:lang w:val="en-GB"/>
        </w:rPr>
        <w:t>]</w:t>
      </w:r>
      <w:r w:rsidRPr="003F63A1">
        <w:rPr>
          <w:sz w:val="26"/>
          <w:szCs w:val="26"/>
          <w:lang w:val="en-GB"/>
        </w:rPr>
        <w:t xml:space="preserve"> as to the Earthsight report not being formally on the record and, therefore, inadmissible to rely on. And the Panel would ask both parties to elaborate on this procedural exemption by the </w:t>
      </w:r>
      <w:r w:rsidR="00A33AF0">
        <w:rPr>
          <w:sz w:val="26"/>
          <w:szCs w:val="26"/>
          <w:lang w:val="en-GB"/>
        </w:rPr>
        <w:t>[</w:t>
      </w:r>
      <w:r w:rsidR="003F63A1" w:rsidRPr="003F63A1">
        <w:rPr>
          <w:sz w:val="26"/>
          <w:szCs w:val="26"/>
          <w:lang w:val="en-GB"/>
        </w:rPr>
        <w:t>European Union</w:t>
      </w:r>
      <w:r w:rsidR="00A33AF0">
        <w:rPr>
          <w:sz w:val="26"/>
          <w:szCs w:val="26"/>
          <w:lang w:val="en-GB"/>
        </w:rPr>
        <w:t>]</w:t>
      </w:r>
      <w:r w:rsidRPr="003F63A1">
        <w:rPr>
          <w:sz w:val="26"/>
          <w:szCs w:val="26"/>
          <w:lang w:val="en-GB"/>
        </w:rPr>
        <w:t>.”</w:t>
      </w:r>
    </w:p>
    <w:p w14:paraId="5BEB6B5E" w14:textId="37F49226" w:rsidR="00FD069D" w:rsidRPr="003F63A1" w:rsidRDefault="00FD069D" w:rsidP="00FD069D">
      <w:pPr>
        <w:pStyle w:val="a3"/>
        <w:numPr>
          <w:ilvl w:val="0"/>
          <w:numId w:val="19"/>
        </w:numPr>
        <w:spacing w:after="120" w:line="360" w:lineRule="auto"/>
        <w:rPr>
          <w:color w:val="000000" w:themeColor="text1"/>
          <w:lang w:val="en-GB"/>
        </w:rPr>
      </w:pPr>
      <w:r w:rsidRPr="7A7A869F">
        <w:rPr>
          <w:lang w:val="en-GB"/>
        </w:rPr>
        <w:t>At the outset, Ukraine wishes to mention that should the Arbitration Panel find by its own means a</w:t>
      </w:r>
      <w:r w:rsidR="002C4ACA" w:rsidRPr="7A7A869F">
        <w:rPr>
          <w:lang w:val="en-GB"/>
        </w:rPr>
        <w:t xml:space="preserve"> piece of</w:t>
      </w:r>
      <w:r w:rsidRPr="7A7A869F">
        <w:rPr>
          <w:lang w:val="en-GB"/>
        </w:rPr>
        <w:t xml:space="preserve"> information by any source, including by way of press report or an </w:t>
      </w:r>
      <w:r w:rsidR="00CC1A9D" w:rsidRPr="7A7A869F">
        <w:rPr>
          <w:lang w:val="en-GB"/>
        </w:rPr>
        <w:t>open-</w:t>
      </w:r>
      <w:r w:rsidRPr="7A7A869F">
        <w:rPr>
          <w:lang w:val="en-GB"/>
        </w:rPr>
        <w:t>source like</w:t>
      </w:r>
      <w:r w:rsidR="002C4ACA" w:rsidRPr="7A7A869F">
        <w:rPr>
          <w:lang w:val="en-GB"/>
        </w:rPr>
        <w:t xml:space="preserve"> the</w:t>
      </w:r>
      <w:r w:rsidRPr="7A7A869F">
        <w:rPr>
          <w:lang w:val="en-GB"/>
        </w:rPr>
        <w:t xml:space="preserve"> internet, the Panel would be plainly entitled to rely on this document, to the extent that it transmits </w:t>
      </w:r>
      <w:r w:rsidRPr="7A7A869F">
        <w:rPr>
          <w:color w:val="000000" w:themeColor="text1"/>
          <w:lang w:val="en-GB"/>
        </w:rPr>
        <w:t>this document to the Parties. This rule is expressly provided for in Article 319 of the Association Agreement, which states, in relevant parts:</w:t>
      </w:r>
    </w:p>
    <w:p w14:paraId="7182D2E2" w14:textId="6908AB9F" w:rsidR="00FD069D" w:rsidRPr="003F63A1" w:rsidRDefault="00FD069D" w:rsidP="00355C83">
      <w:pPr>
        <w:spacing w:after="120" w:line="360" w:lineRule="auto"/>
        <w:ind w:left="1134" w:right="567"/>
        <w:jc w:val="both"/>
        <w:rPr>
          <w:color w:val="000000" w:themeColor="text1"/>
          <w:sz w:val="26"/>
          <w:szCs w:val="26"/>
          <w:lang w:val="en-GB"/>
        </w:rPr>
      </w:pPr>
      <w:r w:rsidRPr="003F63A1">
        <w:rPr>
          <w:color w:val="000000" w:themeColor="text1"/>
          <w:sz w:val="26"/>
          <w:szCs w:val="26"/>
          <w:lang w:val="en-GB"/>
        </w:rPr>
        <w:t>“</w:t>
      </w:r>
      <w:r w:rsidR="00AB29DD">
        <w:rPr>
          <w:color w:val="000000" w:themeColor="text1"/>
          <w:sz w:val="26"/>
          <w:szCs w:val="26"/>
          <w:lang w:val="en-GB"/>
        </w:rPr>
        <w:t>[</w:t>
      </w:r>
      <w:r w:rsidRPr="003F63A1">
        <w:rPr>
          <w:color w:val="000000" w:themeColor="text1"/>
          <w:sz w:val="26"/>
          <w:szCs w:val="26"/>
          <w:lang w:val="en-GB"/>
        </w:rPr>
        <w:t>…</w:t>
      </w:r>
      <w:r w:rsidR="00AB29DD">
        <w:rPr>
          <w:color w:val="000000" w:themeColor="text1"/>
          <w:sz w:val="26"/>
          <w:szCs w:val="26"/>
          <w:lang w:val="en-GB"/>
        </w:rPr>
        <w:t xml:space="preserve">] </w:t>
      </w:r>
      <w:r w:rsidRPr="003F63A1">
        <w:rPr>
          <w:color w:val="000000" w:themeColor="text1"/>
          <w:sz w:val="26"/>
          <w:szCs w:val="26"/>
          <w:lang w:val="en-GB"/>
        </w:rPr>
        <w:t xml:space="preserve">upon its own initiative, the arbitration panel may obtain information from any source </w:t>
      </w:r>
      <w:r w:rsidR="00355C83">
        <w:rPr>
          <w:color w:val="000000" w:themeColor="text1"/>
          <w:sz w:val="26"/>
          <w:szCs w:val="26"/>
          <w:lang w:val="en-GB"/>
        </w:rPr>
        <w:t>[</w:t>
      </w:r>
      <w:r w:rsidRPr="003F63A1">
        <w:rPr>
          <w:color w:val="000000" w:themeColor="text1"/>
          <w:sz w:val="26"/>
          <w:szCs w:val="26"/>
          <w:lang w:val="en-GB"/>
        </w:rPr>
        <w:t>…</w:t>
      </w:r>
      <w:r w:rsidR="00355C83">
        <w:rPr>
          <w:color w:val="000000" w:themeColor="text1"/>
          <w:sz w:val="26"/>
          <w:szCs w:val="26"/>
          <w:lang w:val="en-GB"/>
        </w:rPr>
        <w:t>].</w:t>
      </w:r>
      <w:r w:rsidRPr="003F63A1">
        <w:rPr>
          <w:color w:val="000000" w:themeColor="text1"/>
          <w:sz w:val="26"/>
          <w:szCs w:val="26"/>
          <w:lang w:val="en-GB"/>
        </w:rPr>
        <w:t xml:space="preserve"> Any information obtained in this manner must be disclosed to each of the Parties and submitted for their comments”.</w:t>
      </w:r>
    </w:p>
    <w:p w14:paraId="1B618ED9" w14:textId="6DF278C1" w:rsidR="00FD069D" w:rsidRPr="003F63A1" w:rsidRDefault="00FD069D" w:rsidP="00FD069D">
      <w:pPr>
        <w:pStyle w:val="a3"/>
        <w:numPr>
          <w:ilvl w:val="0"/>
          <w:numId w:val="19"/>
        </w:numPr>
        <w:spacing w:after="120" w:line="360" w:lineRule="auto"/>
        <w:rPr>
          <w:lang w:val="en-GB"/>
        </w:rPr>
      </w:pPr>
      <w:r w:rsidRPr="7A7A869F">
        <w:rPr>
          <w:lang w:val="en-GB"/>
        </w:rPr>
        <w:t>It is</w:t>
      </w:r>
      <w:r w:rsidR="0036561D" w:rsidRPr="7A7A869F">
        <w:rPr>
          <w:lang w:val="en-GB"/>
        </w:rPr>
        <w:t>,</w:t>
      </w:r>
      <w:r w:rsidRPr="7A7A869F">
        <w:rPr>
          <w:lang w:val="en-GB"/>
        </w:rPr>
        <w:t xml:space="preserve"> therefore</w:t>
      </w:r>
      <w:r w:rsidR="0036561D" w:rsidRPr="7A7A869F">
        <w:rPr>
          <w:lang w:val="en-GB"/>
        </w:rPr>
        <w:t>,</w:t>
      </w:r>
      <w:r w:rsidRPr="7A7A869F">
        <w:rPr>
          <w:lang w:val="en-GB"/>
        </w:rPr>
        <w:t xml:space="preserve"> Ukraine’s view that in a situation where: </w:t>
      </w:r>
      <w:r w:rsidR="005E37E0" w:rsidRPr="7A7A869F">
        <w:rPr>
          <w:lang w:val="en-GB"/>
        </w:rPr>
        <w:t>(</w:t>
      </w:r>
      <w:r w:rsidRPr="7A7A869F">
        <w:rPr>
          <w:lang w:val="en-GB"/>
        </w:rPr>
        <w:t xml:space="preserve">i) the Arbitration Panel has had access to such information, </w:t>
      </w:r>
      <w:r w:rsidR="005E37E0" w:rsidRPr="7A7A869F">
        <w:rPr>
          <w:lang w:val="en-GB"/>
        </w:rPr>
        <w:t>(</w:t>
      </w:r>
      <w:r w:rsidRPr="7A7A869F">
        <w:rPr>
          <w:lang w:val="en-GB"/>
        </w:rPr>
        <w:t xml:space="preserve">ii) has duly proposed to the Parties to present their views on this information, but </w:t>
      </w:r>
      <w:r w:rsidR="005E37E0" w:rsidRPr="7A7A869F">
        <w:rPr>
          <w:lang w:val="en-GB"/>
        </w:rPr>
        <w:t>(</w:t>
      </w:r>
      <w:r w:rsidRPr="7A7A869F">
        <w:rPr>
          <w:lang w:val="en-GB"/>
        </w:rPr>
        <w:t>iii) one Party has strongly</w:t>
      </w:r>
      <w:r w:rsidR="00EA150C" w:rsidRPr="7A7A869F">
        <w:rPr>
          <w:lang w:val="en-GB"/>
        </w:rPr>
        <w:t xml:space="preserve"> </w:t>
      </w:r>
      <w:r w:rsidRPr="7A7A869F">
        <w:rPr>
          <w:lang w:val="en-GB"/>
        </w:rPr>
        <w:t xml:space="preserve">opposed such procedure, in breach of Article 319, then </w:t>
      </w:r>
      <w:r w:rsidR="005E37E0" w:rsidRPr="7A7A869F">
        <w:rPr>
          <w:lang w:val="en-GB"/>
        </w:rPr>
        <w:t>(</w:t>
      </w:r>
      <w:r w:rsidRPr="7A7A869F">
        <w:rPr>
          <w:lang w:val="en-GB"/>
        </w:rPr>
        <w:t xml:space="preserve">iv) </w:t>
      </w:r>
      <w:r w:rsidR="005E37E0" w:rsidRPr="7A7A869F">
        <w:rPr>
          <w:lang w:val="en-GB"/>
        </w:rPr>
        <w:t>t</w:t>
      </w:r>
      <w:r w:rsidRPr="7A7A869F">
        <w:rPr>
          <w:lang w:val="en-GB"/>
        </w:rPr>
        <w:t>he Arbitration Panel is fully entitled to rely on such information, taking for granted that the contesting Party has acted in such a manner that it has renounced to its right to discuss the said information.</w:t>
      </w:r>
    </w:p>
    <w:p w14:paraId="1CB44D17" w14:textId="2303E16C" w:rsidR="00E330F2" w:rsidRPr="003F63A1" w:rsidRDefault="00FD069D" w:rsidP="00E240D5">
      <w:pPr>
        <w:pStyle w:val="a3"/>
        <w:numPr>
          <w:ilvl w:val="0"/>
          <w:numId w:val="19"/>
        </w:numPr>
        <w:spacing w:after="120" w:line="360" w:lineRule="auto"/>
        <w:rPr>
          <w:lang w:val="en-GB"/>
        </w:rPr>
      </w:pPr>
      <w:r w:rsidRPr="7A7A869F">
        <w:rPr>
          <w:lang w:val="en-GB"/>
        </w:rPr>
        <w:t>Further, i</w:t>
      </w:r>
      <w:r w:rsidR="00601508" w:rsidRPr="7A7A869F">
        <w:rPr>
          <w:lang w:val="en-GB"/>
        </w:rPr>
        <w:t xml:space="preserve">t is noteworthy to recall that the Parties agreed at the hearings that it is </w:t>
      </w:r>
      <w:r w:rsidR="001B09FC" w:rsidRPr="7A7A869F">
        <w:rPr>
          <w:lang w:val="en-GB"/>
        </w:rPr>
        <w:t xml:space="preserve">acceptable for </w:t>
      </w:r>
      <w:r w:rsidR="00601508" w:rsidRPr="7A7A869F">
        <w:rPr>
          <w:lang w:val="en-GB"/>
        </w:rPr>
        <w:t>the European Union</w:t>
      </w:r>
      <w:r w:rsidR="00565DC9" w:rsidRPr="7A7A869F">
        <w:rPr>
          <w:lang w:val="en-GB"/>
        </w:rPr>
        <w:t xml:space="preserve">, </w:t>
      </w:r>
      <w:r w:rsidR="001B09FC" w:rsidRPr="7A7A869F">
        <w:rPr>
          <w:lang w:val="en-GB"/>
        </w:rPr>
        <w:t xml:space="preserve">on the </w:t>
      </w:r>
      <w:r w:rsidR="00565DC9" w:rsidRPr="7A7A869F">
        <w:rPr>
          <w:lang w:val="en-GB"/>
        </w:rPr>
        <w:t xml:space="preserve">issue of admissibility of the report of a non-profit organisation Earthsight “Complicit in Corruption” (“Earthsight Report”) published in 2018, that </w:t>
      </w:r>
      <w:r w:rsidR="00047E94" w:rsidRPr="7A7A869F">
        <w:rPr>
          <w:lang w:val="en-GB"/>
        </w:rPr>
        <w:t>“</w:t>
      </w:r>
      <w:r w:rsidR="001B09FC" w:rsidRPr="7A7A869F">
        <w:rPr>
          <w:lang w:val="en-GB"/>
        </w:rPr>
        <w:t>all direct quotes from the</w:t>
      </w:r>
      <w:r w:rsidR="00565DC9" w:rsidRPr="7A7A869F">
        <w:rPr>
          <w:lang w:val="en-GB"/>
        </w:rPr>
        <w:t xml:space="preserve"> </w:t>
      </w:r>
      <w:r w:rsidR="00047E94" w:rsidRPr="7A7A869F">
        <w:rPr>
          <w:lang w:val="en-GB"/>
        </w:rPr>
        <w:t>[</w:t>
      </w:r>
      <w:r w:rsidR="00565DC9" w:rsidRPr="7A7A869F">
        <w:rPr>
          <w:lang w:val="en-GB"/>
        </w:rPr>
        <w:t>Earthsight</w:t>
      </w:r>
      <w:r w:rsidR="001B09FC" w:rsidRPr="7A7A869F">
        <w:rPr>
          <w:lang w:val="en-GB"/>
        </w:rPr>
        <w:t xml:space="preserve"> </w:t>
      </w:r>
      <w:r w:rsidR="00565DC9" w:rsidRPr="7A7A869F">
        <w:rPr>
          <w:lang w:val="en-GB"/>
        </w:rPr>
        <w:t>Report</w:t>
      </w:r>
      <w:r w:rsidR="00047E94" w:rsidRPr="7A7A869F">
        <w:rPr>
          <w:lang w:val="en-GB"/>
        </w:rPr>
        <w:t>]</w:t>
      </w:r>
      <w:r w:rsidR="001B09FC" w:rsidRPr="7A7A869F">
        <w:rPr>
          <w:lang w:val="en-GB"/>
        </w:rPr>
        <w:t xml:space="preserve">, as being part of </w:t>
      </w:r>
      <w:r w:rsidR="00565DC9" w:rsidRPr="7A7A869F">
        <w:rPr>
          <w:lang w:val="en-GB"/>
        </w:rPr>
        <w:t>it</w:t>
      </w:r>
      <w:r w:rsidR="001B09FC" w:rsidRPr="7A7A869F">
        <w:rPr>
          <w:lang w:val="en-GB"/>
        </w:rPr>
        <w:t>, including the quotes</w:t>
      </w:r>
      <w:r w:rsidR="00565DC9" w:rsidRPr="7A7A869F">
        <w:rPr>
          <w:lang w:val="en-GB"/>
        </w:rPr>
        <w:t xml:space="preserve"> from this morning”, </w:t>
      </w:r>
      <w:r w:rsidR="00047E94" w:rsidRPr="7A7A869F">
        <w:rPr>
          <w:lang w:val="en-GB"/>
        </w:rPr>
        <w:t>should be treated as admissible evidence on the record.</w:t>
      </w:r>
    </w:p>
    <w:p w14:paraId="67A3B8D5" w14:textId="1D81FD7E" w:rsidR="00047E94" w:rsidRPr="003F63A1" w:rsidRDefault="00047E94" w:rsidP="00E240D5">
      <w:pPr>
        <w:pStyle w:val="a3"/>
        <w:numPr>
          <w:ilvl w:val="0"/>
          <w:numId w:val="19"/>
        </w:numPr>
        <w:spacing w:after="120" w:line="360" w:lineRule="auto"/>
        <w:rPr>
          <w:lang w:val="en-GB"/>
        </w:rPr>
      </w:pPr>
      <w:r w:rsidRPr="7A7A869F">
        <w:rPr>
          <w:lang w:val="en-GB"/>
        </w:rPr>
        <w:lastRenderedPageBreak/>
        <w:t xml:space="preserve">To be precise, Ukraine has relied on the following parts of </w:t>
      </w:r>
      <w:r w:rsidR="00136781" w:rsidRPr="7A7A869F">
        <w:rPr>
          <w:lang w:val="en-GB"/>
        </w:rPr>
        <w:t xml:space="preserve">the </w:t>
      </w:r>
      <w:r w:rsidR="007968A9" w:rsidRPr="7A7A869F">
        <w:rPr>
          <w:lang w:val="en-GB"/>
        </w:rPr>
        <w:t>Earthsight Report</w:t>
      </w:r>
      <w:r w:rsidR="006906A8" w:rsidRPr="7A7A869F">
        <w:rPr>
          <w:lang w:val="en-GB"/>
        </w:rPr>
        <w:t xml:space="preserve"> in its written submissions</w:t>
      </w:r>
      <w:r w:rsidRPr="7A7A869F">
        <w:rPr>
          <w:lang w:val="en-GB"/>
        </w:rPr>
        <w:t>:</w:t>
      </w:r>
    </w:p>
    <w:p w14:paraId="14F4A0F9" w14:textId="3DE42E55" w:rsidR="00D55075" w:rsidRPr="003F63A1" w:rsidRDefault="00D3794F" w:rsidP="00E240D5">
      <w:pPr>
        <w:pStyle w:val="a3"/>
        <w:numPr>
          <w:ilvl w:val="1"/>
          <w:numId w:val="19"/>
        </w:numPr>
        <w:spacing w:after="120" w:line="360" w:lineRule="auto"/>
        <w:rPr>
          <w:lang w:val="en-GB"/>
        </w:rPr>
      </w:pPr>
      <w:r w:rsidRPr="7A7A869F">
        <w:rPr>
          <w:lang w:val="en-GB"/>
        </w:rPr>
        <w:t xml:space="preserve">At footnote 215 to paragraph 338 of Ukraine’s Written Submission, there is a reference to footnote </w:t>
      </w:r>
      <w:r w:rsidR="00C30F8D" w:rsidRPr="7A7A869F">
        <w:rPr>
          <w:lang w:val="en-GB"/>
        </w:rPr>
        <w:t xml:space="preserve">219 </w:t>
      </w:r>
      <w:r w:rsidRPr="7A7A869F">
        <w:rPr>
          <w:lang w:val="en-GB"/>
        </w:rPr>
        <w:t xml:space="preserve">of the </w:t>
      </w:r>
      <w:r w:rsidR="00882C3F" w:rsidRPr="7A7A869F">
        <w:rPr>
          <w:lang w:val="en-GB"/>
        </w:rPr>
        <w:t xml:space="preserve">Earthsight Report </w:t>
      </w:r>
      <w:r w:rsidRPr="7A7A869F">
        <w:rPr>
          <w:lang w:val="en-GB"/>
        </w:rPr>
        <w:t xml:space="preserve">to </w:t>
      </w:r>
      <w:r w:rsidR="00C30F8D" w:rsidRPr="7A7A869F">
        <w:rPr>
          <w:lang w:val="en-GB"/>
        </w:rPr>
        <w:t xml:space="preserve">substantiate Ukraine’s argument </w:t>
      </w:r>
      <w:r w:rsidR="00AB29DD" w:rsidRPr="7A7A869F">
        <w:rPr>
          <w:lang w:val="en-GB"/>
        </w:rPr>
        <w:t xml:space="preserve">that </w:t>
      </w:r>
      <w:r w:rsidR="00C30F8D" w:rsidRPr="7A7A869F">
        <w:rPr>
          <w:lang w:val="en-GB"/>
        </w:rPr>
        <w:t xml:space="preserve">the European Union was one of the world’s largest importers of wood. Footnote 219 of the Earthsight Report </w:t>
      </w:r>
      <w:r w:rsidR="00D55075" w:rsidRPr="7A7A869F">
        <w:rPr>
          <w:lang w:val="en-GB"/>
        </w:rPr>
        <w:t xml:space="preserve">refers to Sonae Industria Investor Presentation of February 2016 </w:t>
      </w:r>
      <w:r w:rsidR="00882C3F" w:rsidRPr="7A7A869F">
        <w:rPr>
          <w:lang w:val="en-GB"/>
        </w:rPr>
        <w:t xml:space="preserve">(available at </w:t>
      </w:r>
      <w:hyperlink r:id="rId20">
        <w:r w:rsidR="5280B366" w:rsidRPr="7A7A869F">
          <w:rPr>
            <w:rStyle w:val="af2"/>
            <w:lang w:val="en-GB"/>
          </w:rPr>
          <w:t>http://www.sonaeindustria.com/file_bank/investor_presentations/2016</w:t>
        </w:r>
        <w:r w:rsidR="5280B366" w:rsidRPr="00355C83">
          <w:rPr>
            <w:rStyle w:val="af2"/>
            <w:rFonts w:ascii="Cambria Math" w:hAnsi="Cambria Math" w:cs="Cambria Math"/>
            <w:lang w:val="en-GB"/>
          </w:rPr>
          <w:t>‐</w:t>
        </w:r>
        <w:r w:rsidR="5280B366" w:rsidRPr="7A7A869F">
          <w:rPr>
            <w:rStyle w:val="af2"/>
            <w:lang w:val="en-GB"/>
          </w:rPr>
          <w:t>02_SIND_investor%20presentation_FINAL.pdf</w:t>
        </w:r>
      </w:hyperlink>
      <w:r w:rsidR="00882C3F" w:rsidRPr="7A7A869F">
        <w:rPr>
          <w:lang w:val="en-GB"/>
        </w:rPr>
        <w:t xml:space="preserve">, which link was taken from footnote 211 of the Earthsight Report) to support </w:t>
      </w:r>
      <w:r w:rsidR="002C4ACA" w:rsidRPr="7A7A869F">
        <w:rPr>
          <w:lang w:val="en-GB"/>
        </w:rPr>
        <w:t xml:space="preserve">the </w:t>
      </w:r>
      <w:r w:rsidR="00882C3F" w:rsidRPr="7A7A869F">
        <w:rPr>
          <w:lang w:val="en-GB"/>
        </w:rPr>
        <w:t xml:space="preserve">statement made at page 31 of the Earthsight Report titled “The Giant Austrian Firms with Multi-Millionaire Owners who are Profiting from Ukraine’s Forests” </w:t>
      </w:r>
      <w:r w:rsidR="006906A8" w:rsidRPr="7A7A869F">
        <w:rPr>
          <w:lang w:val="en-GB"/>
        </w:rPr>
        <w:t>that “Swiss</w:t>
      </w:r>
      <w:r w:rsidR="00355C83" w:rsidRPr="7A7A869F">
        <w:rPr>
          <w:lang w:val="en-GB"/>
        </w:rPr>
        <w:t xml:space="preserve"> </w:t>
      </w:r>
      <w:r w:rsidR="006906A8" w:rsidRPr="7A7A869F">
        <w:rPr>
          <w:lang w:val="en-GB"/>
        </w:rPr>
        <w:t>Krono was spun off by the Kaindl family from its parent group, Kronospan, which is the largest wood</w:t>
      </w:r>
      <w:r w:rsidR="00355C83" w:rsidRPr="7A7A869F">
        <w:rPr>
          <w:lang w:val="en-GB"/>
        </w:rPr>
        <w:t xml:space="preserve"> </w:t>
      </w:r>
      <w:r w:rsidR="006906A8" w:rsidRPr="7A7A869F">
        <w:rPr>
          <w:lang w:val="en-GB"/>
        </w:rPr>
        <w:t>based panel maker in the world”;</w:t>
      </w:r>
    </w:p>
    <w:p w14:paraId="6B8AACAF" w14:textId="2171BAC7" w:rsidR="000D0727" w:rsidRPr="003F63A1" w:rsidRDefault="00136781" w:rsidP="00E240D5">
      <w:pPr>
        <w:pStyle w:val="a3"/>
        <w:numPr>
          <w:ilvl w:val="1"/>
          <w:numId w:val="19"/>
        </w:numPr>
        <w:spacing w:after="120" w:line="360" w:lineRule="auto"/>
        <w:rPr>
          <w:lang w:val="en-GB"/>
        </w:rPr>
      </w:pPr>
      <w:r w:rsidRPr="7A7A869F">
        <w:rPr>
          <w:lang w:val="en-GB"/>
        </w:rPr>
        <w:t xml:space="preserve">At </w:t>
      </w:r>
      <w:r w:rsidR="000D0727" w:rsidRPr="7A7A869F">
        <w:rPr>
          <w:lang w:val="en-GB"/>
        </w:rPr>
        <w:t xml:space="preserve">footnote 219 to </w:t>
      </w:r>
      <w:r w:rsidRPr="7A7A869F">
        <w:rPr>
          <w:lang w:val="en-GB"/>
        </w:rPr>
        <w:t>paragraph 342 of Ukrai</w:t>
      </w:r>
      <w:r w:rsidR="000D0727" w:rsidRPr="7A7A869F">
        <w:rPr>
          <w:lang w:val="en-GB"/>
        </w:rPr>
        <w:t xml:space="preserve">ne’s Written Submission, there is a reference to page 53 of the Earthsight Report to substantiate Ukraine’s argument </w:t>
      </w:r>
      <w:r w:rsidR="007968A9" w:rsidRPr="7A7A869F">
        <w:rPr>
          <w:lang w:val="en-GB"/>
        </w:rPr>
        <w:t xml:space="preserve">dealing with </w:t>
      </w:r>
      <w:r w:rsidR="000D0727" w:rsidRPr="7A7A869F">
        <w:rPr>
          <w:lang w:val="en-GB"/>
        </w:rPr>
        <w:t>the European Union Timber Regulation</w:t>
      </w:r>
      <w:r w:rsidR="007968A9" w:rsidRPr="7A7A869F">
        <w:rPr>
          <w:lang w:val="en-GB"/>
        </w:rPr>
        <w:t xml:space="preserve"> (or EUTR). That page 53 is part of Chapter 4.4 of the </w:t>
      </w:r>
      <w:r w:rsidR="00F609AA" w:rsidRPr="7A7A869F">
        <w:rPr>
          <w:lang w:val="en-GB"/>
        </w:rPr>
        <w:t xml:space="preserve">Earthsight Report </w:t>
      </w:r>
      <w:r w:rsidR="007968A9" w:rsidRPr="7A7A869F">
        <w:rPr>
          <w:lang w:val="en-GB"/>
        </w:rPr>
        <w:t xml:space="preserve">titled “FAILURE OF EU AUTHORITIES”, which begins on page 52 and ends on page 53 of the </w:t>
      </w:r>
      <w:r w:rsidR="00374C55" w:rsidRPr="7A7A869F">
        <w:rPr>
          <w:lang w:val="en-GB"/>
        </w:rPr>
        <w:t>R</w:t>
      </w:r>
      <w:r w:rsidR="007968A9" w:rsidRPr="7A7A869F">
        <w:rPr>
          <w:lang w:val="en-GB"/>
        </w:rPr>
        <w:t>eport</w:t>
      </w:r>
      <w:r w:rsidR="006906A8" w:rsidRPr="7A7A869F">
        <w:rPr>
          <w:lang w:val="en-GB"/>
        </w:rPr>
        <w:t>;</w:t>
      </w:r>
    </w:p>
    <w:p w14:paraId="7D789826" w14:textId="14C8E745" w:rsidR="006906A8" w:rsidRPr="003F63A1" w:rsidRDefault="006906A8" w:rsidP="00F609AA">
      <w:pPr>
        <w:pStyle w:val="a3"/>
        <w:numPr>
          <w:ilvl w:val="1"/>
          <w:numId w:val="19"/>
        </w:numPr>
        <w:spacing w:after="120" w:line="360" w:lineRule="auto"/>
        <w:rPr>
          <w:lang w:val="en-GB"/>
        </w:rPr>
      </w:pPr>
      <w:r w:rsidRPr="7A7A869F">
        <w:rPr>
          <w:lang w:val="en-GB"/>
        </w:rPr>
        <w:t xml:space="preserve">At paragraph 35 of its Provisional Opening Oral Statement, there </w:t>
      </w:r>
      <w:r w:rsidR="00F609AA" w:rsidRPr="7A7A869F">
        <w:rPr>
          <w:lang w:val="en-GB"/>
        </w:rPr>
        <w:t xml:space="preserve">is a direct quote from the Chapter </w:t>
      </w:r>
      <w:r w:rsidR="00CC3E09" w:rsidRPr="7A7A869F">
        <w:rPr>
          <w:lang w:val="en-GB"/>
        </w:rPr>
        <w:t xml:space="preserve">titled “Illegal Logging and Timber Corruption in Ukraine” </w:t>
      </w:r>
      <w:r w:rsidR="00F609AA" w:rsidRPr="7A7A869F">
        <w:rPr>
          <w:lang w:val="en-GB"/>
        </w:rPr>
        <w:t>of the Earthsight Report, which is at pages 4 and 5 of the Earthsight Report;</w:t>
      </w:r>
      <w:r w:rsidR="00CC3E09" w:rsidRPr="7A7A869F">
        <w:rPr>
          <w:lang w:val="en-GB"/>
        </w:rPr>
        <w:t xml:space="preserve"> and</w:t>
      </w:r>
    </w:p>
    <w:p w14:paraId="395A1CE7" w14:textId="506D3ED3" w:rsidR="00CC3E09" w:rsidRPr="003F63A1" w:rsidRDefault="00CC3E09" w:rsidP="00F609AA">
      <w:pPr>
        <w:pStyle w:val="a3"/>
        <w:numPr>
          <w:ilvl w:val="1"/>
          <w:numId w:val="19"/>
        </w:numPr>
        <w:spacing w:after="120" w:line="360" w:lineRule="auto"/>
        <w:rPr>
          <w:lang w:val="en-GB"/>
        </w:rPr>
      </w:pPr>
      <w:r w:rsidRPr="7A7A869F">
        <w:rPr>
          <w:lang w:val="en-GB"/>
        </w:rPr>
        <w:t xml:space="preserve">At paragraph 37 of its Provisional Opening Oral Statement, there are direct quotes from the Chapter titled “Key Findings” and </w:t>
      </w:r>
      <w:r w:rsidR="00372BF3" w:rsidRPr="7A7A869F">
        <w:rPr>
          <w:lang w:val="en-GB"/>
        </w:rPr>
        <w:t xml:space="preserve">sub-chapter </w:t>
      </w:r>
      <w:r w:rsidRPr="7A7A869F">
        <w:rPr>
          <w:lang w:val="en-GB"/>
        </w:rPr>
        <w:t>“</w:t>
      </w:r>
      <w:r w:rsidR="00372BF3" w:rsidRPr="7A7A869F">
        <w:rPr>
          <w:lang w:val="en-GB"/>
        </w:rPr>
        <w:t>Solutions</w:t>
      </w:r>
      <w:r w:rsidRPr="7A7A869F">
        <w:rPr>
          <w:lang w:val="en-GB"/>
        </w:rPr>
        <w:t>”</w:t>
      </w:r>
      <w:r w:rsidR="00372BF3" w:rsidRPr="7A7A869F">
        <w:rPr>
          <w:lang w:val="en-GB"/>
        </w:rPr>
        <w:t xml:space="preserve"> of the Executive Summary of the Earthsight Report, which are taken from pages 3 and 8 of the </w:t>
      </w:r>
      <w:r w:rsidR="00374C55" w:rsidRPr="7A7A869F">
        <w:rPr>
          <w:lang w:val="en-GB"/>
        </w:rPr>
        <w:t>R</w:t>
      </w:r>
      <w:r w:rsidR="00372BF3" w:rsidRPr="7A7A869F">
        <w:rPr>
          <w:lang w:val="en-GB"/>
        </w:rPr>
        <w:t>eport respectively.</w:t>
      </w:r>
    </w:p>
    <w:p w14:paraId="09D3874F" w14:textId="38D21DE9" w:rsidR="00C4106F" w:rsidRPr="003F63A1" w:rsidRDefault="00C4106F" w:rsidP="00C4106F">
      <w:pPr>
        <w:pStyle w:val="1"/>
        <w:rPr>
          <w:rStyle w:val="st"/>
          <w:rFonts w:cs="Times New Roman"/>
          <w:szCs w:val="26"/>
          <w:lang w:val="en-GB"/>
        </w:rPr>
      </w:pPr>
      <w:bookmarkStart w:id="36" w:name="_Toc52886575"/>
      <w:bookmarkStart w:id="37" w:name="_Toc52896880"/>
      <w:r w:rsidRPr="003F63A1">
        <w:rPr>
          <w:rFonts w:cs="Times New Roman"/>
          <w:szCs w:val="26"/>
          <w:lang w:val="en-GB"/>
        </w:rPr>
        <w:lastRenderedPageBreak/>
        <w:t>Panel’s Questions to the Parties</w:t>
      </w:r>
      <w:bookmarkEnd w:id="36"/>
      <w:bookmarkEnd w:id="37"/>
    </w:p>
    <w:p w14:paraId="35758BC6" w14:textId="68768013" w:rsidR="00C4106F" w:rsidRPr="003F63A1" w:rsidRDefault="00C4106F" w:rsidP="00202EA2">
      <w:pPr>
        <w:pStyle w:val="2"/>
        <w:rPr>
          <w:rStyle w:val="st"/>
          <w:rFonts w:cs="Times New Roman"/>
          <w:lang w:val="en-GB"/>
        </w:rPr>
      </w:pPr>
      <w:bookmarkStart w:id="38" w:name="_Toc52886576"/>
      <w:bookmarkStart w:id="39" w:name="_Toc52896881"/>
      <w:r w:rsidRPr="003F63A1">
        <w:rPr>
          <w:rStyle w:val="st"/>
          <w:rFonts w:cs="Times New Roman"/>
          <w:lang w:val="en-GB"/>
        </w:rPr>
        <w:t>Question 5</w:t>
      </w:r>
      <w:r w:rsidR="00202EA2" w:rsidRPr="003F63A1">
        <w:rPr>
          <w:rStyle w:val="st"/>
          <w:rFonts w:cs="Times New Roman"/>
          <w:lang w:val="en-GB"/>
        </w:rPr>
        <w:t xml:space="preserve"> – Whether WTO minus provisions are allowed in FTAs</w:t>
      </w:r>
      <w:bookmarkEnd w:id="38"/>
      <w:bookmarkEnd w:id="39"/>
    </w:p>
    <w:p w14:paraId="3376B72C" w14:textId="0316E26F" w:rsidR="004E6520" w:rsidRPr="003F63A1" w:rsidRDefault="00C4106F" w:rsidP="00FC3614">
      <w:pPr>
        <w:spacing w:after="120"/>
        <w:jc w:val="both"/>
        <w:rPr>
          <w:rStyle w:val="st"/>
          <w:sz w:val="26"/>
          <w:szCs w:val="26"/>
          <w:lang w:val="en-GB"/>
        </w:rPr>
      </w:pPr>
      <w:r w:rsidRPr="003F63A1">
        <w:rPr>
          <w:rStyle w:val="st"/>
          <w:b/>
          <w:bCs/>
          <w:sz w:val="26"/>
          <w:szCs w:val="26"/>
          <w:lang w:val="en-GB"/>
        </w:rPr>
        <w:t>MR Christian HÄBERLI</w:t>
      </w:r>
      <w:r w:rsidRPr="003F63A1">
        <w:rPr>
          <w:rStyle w:val="st"/>
          <w:sz w:val="26"/>
          <w:szCs w:val="26"/>
          <w:lang w:val="en-GB"/>
        </w:rPr>
        <w:t>: “</w:t>
      </w:r>
      <w:r w:rsidR="00D80B8A" w:rsidRPr="003F63A1">
        <w:rPr>
          <w:rStyle w:val="st"/>
          <w:sz w:val="26"/>
          <w:szCs w:val="26"/>
          <w:lang w:val="en-GB"/>
        </w:rPr>
        <w:t>I have two sets of questions</w:t>
      </w:r>
      <w:r w:rsidR="00236F24" w:rsidRPr="003F63A1">
        <w:rPr>
          <w:rStyle w:val="st"/>
          <w:sz w:val="26"/>
          <w:szCs w:val="26"/>
          <w:lang w:val="en-GB"/>
        </w:rPr>
        <w:t>,</w:t>
      </w:r>
      <w:r w:rsidR="00D80B8A" w:rsidRPr="003F63A1">
        <w:rPr>
          <w:rStyle w:val="st"/>
          <w:sz w:val="26"/>
          <w:szCs w:val="26"/>
          <w:lang w:val="en-GB"/>
        </w:rPr>
        <w:t xml:space="preserve"> and first they go to the Complainant. And it is in respect of your yesterday</w:t>
      </w:r>
      <w:r w:rsidR="004E6520" w:rsidRPr="003F63A1">
        <w:rPr>
          <w:rStyle w:val="st"/>
          <w:sz w:val="26"/>
          <w:szCs w:val="26"/>
          <w:lang w:val="en-GB"/>
        </w:rPr>
        <w:t>’</w:t>
      </w:r>
      <w:r w:rsidR="00D80B8A" w:rsidRPr="003F63A1">
        <w:rPr>
          <w:rStyle w:val="st"/>
          <w:sz w:val="26"/>
          <w:szCs w:val="26"/>
          <w:lang w:val="en-GB"/>
        </w:rPr>
        <w:t>s opening statement and in respect of (</w:t>
      </w:r>
      <w:r w:rsidR="004E6520" w:rsidRPr="003F63A1">
        <w:rPr>
          <w:rStyle w:val="st"/>
          <w:sz w:val="26"/>
          <w:szCs w:val="26"/>
          <w:lang w:val="en-GB"/>
        </w:rPr>
        <w:t>F</w:t>
      </w:r>
      <w:r w:rsidR="00D80B8A" w:rsidRPr="003F63A1">
        <w:rPr>
          <w:rStyle w:val="st"/>
          <w:sz w:val="26"/>
          <w:szCs w:val="26"/>
          <w:lang w:val="en-GB"/>
        </w:rPr>
        <w:t>TAs). And of course, the Respondent can also take note and respond if they want to. In that first batch</w:t>
      </w:r>
      <w:r w:rsidR="00236F24" w:rsidRPr="003F63A1">
        <w:rPr>
          <w:rStyle w:val="st"/>
          <w:sz w:val="26"/>
          <w:szCs w:val="26"/>
          <w:lang w:val="en-GB"/>
        </w:rPr>
        <w:t>,</w:t>
      </w:r>
      <w:r w:rsidR="00D80B8A" w:rsidRPr="003F63A1">
        <w:rPr>
          <w:rStyle w:val="st"/>
          <w:sz w:val="26"/>
          <w:szCs w:val="26"/>
          <w:lang w:val="en-GB"/>
        </w:rPr>
        <w:t xml:space="preserve"> I have three questions.</w:t>
      </w:r>
      <w:r w:rsidR="004E6520" w:rsidRPr="003F63A1">
        <w:rPr>
          <w:rStyle w:val="st"/>
          <w:sz w:val="26"/>
          <w:szCs w:val="26"/>
          <w:lang w:val="en-GB"/>
        </w:rPr>
        <w:t>”</w:t>
      </w:r>
    </w:p>
    <w:p w14:paraId="2E63FB8A" w14:textId="2AB34EC4" w:rsidR="001B09FC" w:rsidRPr="003F63A1" w:rsidRDefault="004E6520" w:rsidP="004E6520">
      <w:pPr>
        <w:spacing w:after="120"/>
        <w:jc w:val="both"/>
        <w:rPr>
          <w:sz w:val="26"/>
          <w:szCs w:val="26"/>
          <w:lang w:val="en-GB"/>
        </w:rPr>
      </w:pPr>
      <w:r w:rsidRPr="003F63A1">
        <w:rPr>
          <w:rStyle w:val="st"/>
          <w:sz w:val="26"/>
          <w:szCs w:val="26"/>
          <w:lang w:val="en-GB"/>
        </w:rPr>
        <w:t>“</w:t>
      </w:r>
      <w:r w:rsidR="00D80B8A" w:rsidRPr="003F63A1">
        <w:rPr>
          <w:rStyle w:val="st"/>
          <w:sz w:val="26"/>
          <w:szCs w:val="26"/>
          <w:lang w:val="en-GB"/>
        </w:rPr>
        <w:t xml:space="preserve">The first is: when you talk about WTO minus and WTO plus is the </w:t>
      </w:r>
      <w:r w:rsidR="00A33AF0">
        <w:rPr>
          <w:rStyle w:val="st"/>
          <w:sz w:val="26"/>
          <w:szCs w:val="26"/>
          <w:lang w:val="en-GB"/>
        </w:rPr>
        <w:t>[</w:t>
      </w:r>
      <w:r w:rsidR="003F63A1" w:rsidRPr="003F63A1">
        <w:rPr>
          <w:sz w:val="26"/>
          <w:szCs w:val="26"/>
          <w:lang w:val="en-GB"/>
        </w:rPr>
        <w:t>European Union</w:t>
      </w:r>
      <w:r w:rsidR="00A33AF0">
        <w:rPr>
          <w:sz w:val="26"/>
          <w:szCs w:val="26"/>
          <w:lang w:val="en-GB"/>
        </w:rPr>
        <w:t>]</w:t>
      </w:r>
      <w:r w:rsidRPr="003F63A1">
        <w:rPr>
          <w:rStyle w:val="st"/>
          <w:sz w:val="26"/>
          <w:szCs w:val="26"/>
          <w:lang w:val="en-GB"/>
        </w:rPr>
        <w:t>’s</w:t>
      </w:r>
      <w:r w:rsidR="00D80B8A" w:rsidRPr="003F63A1">
        <w:rPr>
          <w:rStyle w:val="st"/>
          <w:sz w:val="26"/>
          <w:szCs w:val="26"/>
          <w:lang w:val="en-GB"/>
        </w:rPr>
        <w:t xml:space="preserve"> opinion that </w:t>
      </w:r>
      <w:r w:rsidRPr="003F63A1">
        <w:rPr>
          <w:rStyle w:val="st"/>
          <w:sz w:val="26"/>
          <w:szCs w:val="26"/>
          <w:lang w:val="en-GB"/>
        </w:rPr>
        <w:t xml:space="preserve">Article </w:t>
      </w:r>
      <w:r w:rsidR="00C90F73" w:rsidRPr="003F63A1">
        <w:rPr>
          <w:sz w:val="26"/>
          <w:szCs w:val="26"/>
          <w:lang w:val="en-GB"/>
        </w:rPr>
        <w:t>XXIV:8(b)</w:t>
      </w:r>
      <w:r w:rsidR="00D80B8A" w:rsidRPr="003F63A1">
        <w:rPr>
          <w:rStyle w:val="st"/>
          <w:sz w:val="26"/>
          <w:szCs w:val="26"/>
          <w:lang w:val="en-GB"/>
        </w:rPr>
        <w:t xml:space="preserve"> disallows any WTO minus provisions in a regional trade agreement, for instance, the Association Agreement? Under </w:t>
      </w:r>
      <w:r w:rsidR="00C90F73" w:rsidRPr="003F63A1">
        <w:rPr>
          <w:sz w:val="26"/>
          <w:szCs w:val="26"/>
          <w:lang w:val="en-GB"/>
        </w:rPr>
        <w:t>XXIV:8(b)</w:t>
      </w:r>
      <w:r w:rsidR="00D80B8A" w:rsidRPr="003F63A1">
        <w:rPr>
          <w:rStyle w:val="st"/>
          <w:sz w:val="26"/>
          <w:szCs w:val="26"/>
          <w:lang w:val="en-GB"/>
        </w:rPr>
        <w:t xml:space="preserve"> of the GATT 1994. Yesterday you mentioned DS332 </w:t>
      </w:r>
      <w:r w:rsidR="00D80B8A" w:rsidRPr="003F63A1">
        <w:rPr>
          <w:rStyle w:val="st"/>
          <w:i/>
          <w:iCs/>
          <w:sz w:val="26"/>
          <w:szCs w:val="26"/>
          <w:lang w:val="en-GB"/>
        </w:rPr>
        <w:t>Brasil – Tyres</w:t>
      </w:r>
      <w:r w:rsidR="00D80B8A" w:rsidRPr="003F63A1">
        <w:rPr>
          <w:rStyle w:val="st"/>
          <w:sz w:val="26"/>
          <w:szCs w:val="26"/>
          <w:lang w:val="en-GB"/>
        </w:rPr>
        <w:t xml:space="preserve">, but I would like you also to consider DS457 </w:t>
      </w:r>
      <w:r w:rsidR="00D80B8A" w:rsidRPr="003F63A1">
        <w:rPr>
          <w:rStyle w:val="st"/>
          <w:i/>
          <w:iCs/>
          <w:sz w:val="26"/>
          <w:szCs w:val="26"/>
          <w:lang w:val="en-GB"/>
        </w:rPr>
        <w:t>Peru – Agricultural products</w:t>
      </w:r>
      <w:r w:rsidR="00D80B8A" w:rsidRPr="003F63A1">
        <w:rPr>
          <w:rStyle w:val="st"/>
          <w:sz w:val="26"/>
          <w:szCs w:val="26"/>
          <w:lang w:val="en-GB"/>
        </w:rPr>
        <w:t>. In that case, there had been a Free Trade Agreement where Peru was allowed to maintain its price range system</w:t>
      </w:r>
      <w:r w:rsidR="00236F24" w:rsidRPr="003F63A1">
        <w:rPr>
          <w:rStyle w:val="st"/>
          <w:sz w:val="26"/>
          <w:szCs w:val="26"/>
          <w:lang w:val="en-GB"/>
        </w:rPr>
        <w:t>,</w:t>
      </w:r>
      <w:r w:rsidR="00D80B8A" w:rsidRPr="003F63A1">
        <w:rPr>
          <w:rStyle w:val="st"/>
          <w:sz w:val="26"/>
          <w:szCs w:val="26"/>
          <w:lang w:val="en-GB"/>
        </w:rPr>
        <w:t xml:space="preserve"> which was the object of the dispute in the WTO. So, they had an FTA which was not in force, but it was an Agreement between the two disputing parties previous to the dispute in December 2011</w:t>
      </w:r>
      <w:r w:rsidR="00236F24" w:rsidRPr="003F63A1">
        <w:rPr>
          <w:rStyle w:val="st"/>
          <w:sz w:val="26"/>
          <w:szCs w:val="26"/>
          <w:lang w:val="en-GB"/>
        </w:rPr>
        <w:t>,</w:t>
      </w:r>
      <w:r w:rsidR="00D80B8A" w:rsidRPr="003F63A1">
        <w:rPr>
          <w:rStyle w:val="st"/>
          <w:sz w:val="26"/>
          <w:szCs w:val="26"/>
          <w:lang w:val="en-GB"/>
        </w:rPr>
        <w:t xml:space="preserve"> and there was a sort of a divergence between the WTO rules and FTA rules. The WTO minus I would say. This was also the opinion of (name), whom we very well know, a future appellate body member, and in his opinion, he disagreed with the appellate body ruling in that respect, which was based on </w:t>
      </w:r>
      <w:r w:rsidRPr="003F63A1">
        <w:rPr>
          <w:rStyle w:val="st"/>
          <w:sz w:val="26"/>
          <w:szCs w:val="26"/>
          <w:lang w:val="en-GB"/>
        </w:rPr>
        <w:t>defence</w:t>
      </w:r>
      <w:r w:rsidR="00D80B8A" w:rsidRPr="003F63A1">
        <w:rPr>
          <w:rStyle w:val="st"/>
          <w:sz w:val="26"/>
          <w:szCs w:val="26"/>
          <w:lang w:val="en-GB"/>
        </w:rPr>
        <w:t xml:space="preserve"> made by Peru on the price range system. This is the first question.</w:t>
      </w:r>
      <w:r w:rsidR="00C4106F" w:rsidRPr="003F63A1">
        <w:rPr>
          <w:rStyle w:val="st"/>
          <w:sz w:val="26"/>
          <w:szCs w:val="26"/>
          <w:lang w:val="en-GB"/>
        </w:rPr>
        <w:t>”</w:t>
      </w:r>
    </w:p>
    <w:p w14:paraId="5D902058" w14:textId="6FF77D6F" w:rsidR="00FD069D" w:rsidRPr="003F63A1" w:rsidRDefault="00FD069D" w:rsidP="00A019E2">
      <w:pPr>
        <w:pStyle w:val="a3"/>
        <w:numPr>
          <w:ilvl w:val="0"/>
          <w:numId w:val="19"/>
        </w:numPr>
        <w:spacing w:after="120" w:line="360" w:lineRule="auto"/>
        <w:contextualSpacing w:val="0"/>
        <w:rPr>
          <w:lang w:val="en-GB"/>
        </w:rPr>
      </w:pPr>
      <w:r w:rsidRPr="7A7A869F">
        <w:rPr>
          <w:lang w:val="en-GB"/>
        </w:rPr>
        <w:t xml:space="preserve">Although this is a question for the </w:t>
      </w:r>
      <w:r w:rsidR="00C90F73" w:rsidRPr="7A7A869F">
        <w:rPr>
          <w:lang w:val="en-GB"/>
        </w:rPr>
        <w:t>European Union</w:t>
      </w:r>
      <w:r w:rsidRPr="7A7A869F">
        <w:rPr>
          <w:lang w:val="en-GB"/>
        </w:rPr>
        <w:t>, Ukraine sees this as a very interesting legal point upon which it can bring its own appreciation, in particular</w:t>
      </w:r>
      <w:r w:rsidR="004B25BD" w:rsidRPr="7A7A869F">
        <w:rPr>
          <w:lang w:val="en-GB"/>
        </w:rPr>
        <w:t>,</w:t>
      </w:r>
      <w:r w:rsidRPr="7A7A869F">
        <w:rPr>
          <w:lang w:val="en-GB"/>
        </w:rPr>
        <w:t xml:space="preserve"> because the debate initiated by the </w:t>
      </w:r>
      <w:r w:rsidR="00C90F73" w:rsidRPr="7A7A869F">
        <w:rPr>
          <w:lang w:val="en-GB"/>
        </w:rPr>
        <w:t>European Union</w:t>
      </w:r>
      <w:r w:rsidR="00C90F73" w:rsidRPr="7A7A869F" w:rsidDel="00C90F73">
        <w:rPr>
          <w:lang w:val="en-GB"/>
        </w:rPr>
        <w:t xml:space="preserve"> </w:t>
      </w:r>
      <w:r w:rsidRPr="7A7A869F">
        <w:rPr>
          <w:lang w:val="en-GB"/>
        </w:rPr>
        <w:t xml:space="preserve">on the effect of Article XXIV:8(b) of the GATT 1994 on this case is irrelevant to the interpretation of Article 35 </w:t>
      </w:r>
      <w:r w:rsidR="00C90F73" w:rsidRPr="7A7A869F">
        <w:rPr>
          <w:lang w:val="en-GB"/>
        </w:rPr>
        <w:t xml:space="preserve">of the Association Agreement </w:t>
      </w:r>
      <w:r w:rsidRPr="7A7A869F">
        <w:rPr>
          <w:lang w:val="en-GB"/>
        </w:rPr>
        <w:t xml:space="preserve">in the context of the progressive establishment of a </w:t>
      </w:r>
      <w:r w:rsidR="00B917BA" w:rsidRPr="7A7A869F">
        <w:rPr>
          <w:lang w:val="en-GB"/>
        </w:rPr>
        <w:t>free-</w:t>
      </w:r>
      <w:r w:rsidRPr="7A7A869F">
        <w:rPr>
          <w:lang w:val="en-GB"/>
        </w:rPr>
        <w:t xml:space="preserve">trade area. This is what Ukraine will demonstrate </w:t>
      </w:r>
      <w:r w:rsidR="00C90F73" w:rsidRPr="7A7A869F">
        <w:rPr>
          <w:lang w:val="en-GB"/>
        </w:rPr>
        <w:t>at sub-section “</w:t>
      </w:r>
      <w:r w:rsidRPr="7A7A869F">
        <w:rPr>
          <w:lang w:val="en-GB"/>
        </w:rPr>
        <w:t>B</w:t>
      </w:r>
      <w:r w:rsidR="00C90F73" w:rsidRPr="7A7A869F">
        <w:rPr>
          <w:lang w:val="en-GB"/>
        </w:rPr>
        <w:t>” below</w:t>
      </w:r>
      <w:r w:rsidRPr="7A7A869F">
        <w:rPr>
          <w:lang w:val="en-GB"/>
        </w:rPr>
        <w:t xml:space="preserve">. But first, </w:t>
      </w:r>
      <w:r w:rsidR="00C90F73" w:rsidRPr="7A7A869F">
        <w:rPr>
          <w:lang w:val="en-GB"/>
        </w:rPr>
        <w:t xml:space="preserve">Ukraine </w:t>
      </w:r>
      <w:r w:rsidRPr="7A7A869F">
        <w:rPr>
          <w:lang w:val="en-GB"/>
        </w:rPr>
        <w:t>will address the more theoretical question whether Article XXIV:8(b) of the GATT 1994 inherently prohibits the so-called “GATT-minus” FTA’s</w:t>
      </w:r>
      <w:r w:rsidR="00C90F73" w:rsidRPr="7A7A869F">
        <w:rPr>
          <w:lang w:val="en-GB"/>
        </w:rPr>
        <w:t xml:space="preserve">, </w:t>
      </w:r>
      <w:r w:rsidR="00C6071D" w:rsidRPr="7A7A869F">
        <w:rPr>
          <w:lang w:val="en-GB"/>
        </w:rPr>
        <w:t xml:space="preserve">which is </w:t>
      </w:r>
      <w:r w:rsidR="00C90F73" w:rsidRPr="7A7A869F">
        <w:rPr>
          <w:lang w:val="en-GB"/>
        </w:rPr>
        <w:t>discussed at su</w:t>
      </w:r>
      <w:r w:rsidR="00C6071D" w:rsidRPr="7A7A869F">
        <w:rPr>
          <w:lang w:val="en-GB"/>
        </w:rPr>
        <w:t>b-section</w:t>
      </w:r>
      <w:r w:rsidR="00AC372C" w:rsidRPr="7A7A869F">
        <w:rPr>
          <w:lang w:val="en-GB"/>
        </w:rPr>
        <w:t xml:space="preserve"> </w:t>
      </w:r>
      <w:r w:rsidR="00C6071D" w:rsidRPr="7A7A869F">
        <w:rPr>
          <w:lang w:val="en-GB"/>
        </w:rPr>
        <w:t>“</w:t>
      </w:r>
      <w:r w:rsidRPr="7A7A869F">
        <w:rPr>
          <w:lang w:val="en-GB"/>
        </w:rPr>
        <w:t>A</w:t>
      </w:r>
      <w:r w:rsidR="00C6071D" w:rsidRPr="7A7A869F">
        <w:rPr>
          <w:lang w:val="en-GB"/>
        </w:rPr>
        <w:t>” below</w:t>
      </w:r>
      <w:r w:rsidRPr="7A7A869F">
        <w:rPr>
          <w:lang w:val="en-GB"/>
        </w:rPr>
        <w:t xml:space="preserve"> – which, in context, and rather</w:t>
      </w:r>
      <w:r w:rsidR="004B25BD" w:rsidRPr="7A7A869F">
        <w:rPr>
          <w:lang w:val="en-GB"/>
        </w:rPr>
        <w:t>,</w:t>
      </w:r>
      <w:r w:rsidRPr="7A7A869F">
        <w:rPr>
          <w:lang w:val="en-GB"/>
        </w:rPr>
        <w:t xml:space="preserve"> unfortunately, refers to FTAs that provide</w:t>
      </w:r>
      <w:r w:rsidR="004B3AA7" w:rsidRPr="7A7A869F">
        <w:rPr>
          <w:lang w:val="en-GB"/>
        </w:rPr>
        <w:t xml:space="preserve"> </w:t>
      </w:r>
      <w:r w:rsidRPr="7A7A869F">
        <w:rPr>
          <w:lang w:val="en-GB"/>
        </w:rPr>
        <w:t>better protection of the environment than the GATT 1994.</w:t>
      </w:r>
    </w:p>
    <w:p w14:paraId="7D35B904" w14:textId="13219FF2" w:rsidR="00FD069D" w:rsidRPr="003F63A1" w:rsidRDefault="00FD069D" w:rsidP="00202EA2">
      <w:pPr>
        <w:pStyle w:val="3"/>
        <w:rPr>
          <w:rFonts w:cs="Times New Roman"/>
          <w:szCs w:val="26"/>
          <w:lang w:val="en-GB"/>
        </w:rPr>
      </w:pPr>
      <w:bookmarkStart w:id="40" w:name="_Toc52886577"/>
      <w:bookmarkStart w:id="41" w:name="_Toc52896882"/>
      <w:r w:rsidRPr="003F63A1">
        <w:rPr>
          <w:rFonts w:cs="Times New Roman"/>
          <w:szCs w:val="26"/>
          <w:lang w:val="en-GB"/>
        </w:rPr>
        <w:t xml:space="preserve">A – Does Article XXIV:8(b) prohibits or disallow “GATT-minus” </w:t>
      </w:r>
      <w:r w:rsidR="00CC60ED" w:rsidRPr="003F63A1">
        <w:rPr>
          <w:rFonts w:cs="Times New Roman"/>
          <w:szCs w:val="26"/>
          <w:lang w:val="en-GB"/>
        </w:rPr>
        <w:t>Free trade agreements (“</w:t>
      </w:r>
      <w:r w:rsidR="00AC372C" w:rsidRPr="003F63A1">
        <w:rPr>
          <w:rFonts w:cs="Times New Roman"/>
          <w:szCs w:val="26"/>
          <w:lang w:val="en-GB"/>
        </w:rPr>
        <w:t>FTAs</w:t>
      </w:r>
      <w:r w:rsidR="00CC60ED" w:rsidRPr="003F63A1">
        <w:rPr>
          <w:rFonts w:cs="Times New Roman"/>
          <w:szCs w:val="26"/>
          <w:lang w:val="en-GB"/>
        </w:rPr>
        <w:t>”)</w:t>
      </w:r>
      <w:r w:rsidR="00AC372C" w:rsidRPr="003F63A1">
        <w:rPr>
          <w:rFonts w:cs="Times New Roman"/>
          <w:szCs w:val="26"/>
          <w:lang w:val="en-GB"/>
        </w:rPr>
        <w:t>?</w:t>
      </w:r>
      <w:bookmarkEnd w:id="40"/>
      <w:bookmarkEnd w:id="41"/>
    </w:p>
    <w:p w14:paraId="719BAB47" w14:textId="3A973950" w:rsidR="00FD069D" w:rsidRPr="003F63A1" w:rsidRDefault="00FD069D" w:rsidP="009D2D08">
      <w:pPr>
        <w:pStyle w:val="a3"/>
        <w:numPr>
          <w:ilvl w:val="0"/>
          <w:numId w:val="19"/>
        </w:numPr>
        <w:spacing w:after="120" w:line="360" w:lineRule="auto"/>
        <w:contextualSpacing w:val="0"/>
        <w:rPr>
          <w:lang w:val="en-GB"/>
        </w:rPr>
      </w:pPr>
      <w:r w:rsidRPr="7A7A869F">
        <w:rPr>
          <w:lang w:val="en-GB"/>
        </w:rPr>
        <w:t>Ukraine considers that as a matter of international law, a multilateral treaty can</w:t>
      </w:r>
      <w:r w:rsidR="00C6071D" w:rsidRPr="7A7A869F">
        <w:rPr>
          <w:lang w:val="en-GB"/>
        </w:rPr>
        <w:t>not</w:t>
      </w:r>
      <w:r w:rsidRPr="7A7A869F">
        <w:rPr>
          <w:lang w:val="en-GB"/>
        </w:rPr>
        <w:t xml:space="preserve"> generally prohibit the adoption by some of its parties of a subsequent treaty with </w:t>
      </w:r>
      <w:r w:rsidRPr="7A7A869F">
        <w:rPr>
          <w:lang w:val="en-GB"/>
        </w:rPr>
        <w:lastRenderedPageBreak/>
        <w:t xml:space="preserve">different provisions. There are three peculiar hypotheses, namely (i) the situation where a treaty contains </w:t>
      </w:r>
      <w:r w:rsidR="00AC372C" w:rsidRPr="7A7A869F">
        <w:rPr>
          <w:lang w:val="en-GB"/>
        </w:rPr>
        <w:t xml:space="preserve">(codifies) </w:t>
      </w:r>
      <w:r w:rsidRPr="7A7A869F">
        <w:rPr>
          <w:lang w:val="en-GB"/>
        </w:rPr>
        <w:t xml:space="preserve">norms of </w:t>
      </w:r>
      <w:r w:rsidRPr="7A7A869F">
        <w:rPr>
          <w:i/>
          <w:lang w:val="en-GB"/>
        </w:rPr>
        <w:t>jus cogens</w:t>
      </w:r>
      <w:r w:rsidRPr="7A7A869F">
        <w:rPr>
          <w:lang w:val="en-GB"/>
        </w:rPr>
        <w:t xml:space="preserve">, which indeed have </w:t>
      </w:r>
      <w:r w:rsidR="00AC372C" w:rsidRPr="7A7A869F">
        <w:rPr>
          <w:lang w:val="en-GB"/>
        </w:rPr>
        <w:t xml:space="preserve">arguably </w:t>
      </w:r>
      <w:r w:rsidRPr="7A7A869F">
        <w:rPr>
          <w:lang w:val="en-GB"/>
        </w:rPr>
        <w:t xml:space="preserve">the effect of nullifying subsequent treaties containing rules inconsistent with the </w:t>
      </w:r>
      <w:r w:rsidRPr="7A7A869F">
        <w:rPr>
          <w:i/>
          <w:lang w:val="en-GB"/>
        </w:rPr>
        <w:t>jus cogens</w:t>
      </w:r>
      <w:r w:rsidRPr="7A7A869F">
        <w:rPr>
          <w:lang w:val="en-GB"/>
        </w:rPr>
        <w:t xml:space="preserve"> rules</w:t>
      </w:r>
      <w:r w:rsidR="00AC372C" w:rsidRPr="7A7A869F">
        <w:rPr>
          <w:lang w:val="en-GB"/>
        </w:rPr>
        <w:t xml:space="preserve"> (see, e.g. the Genocide Convention)</w:t>
      </w:r>
      <w:r w:rsidRPr="7A7A869F">
        <w:rPr>
          <w:lang w:val="en-GB"/>
        </w:rPr>
        <w:t xml:space="preserve">; (ii) the situation where a treaty expressly mentions that in case of inconsistency with a subsequent treaty, the former will prevail on the latter – as, for example, </w:t>
      </w:r>
      <w:r w:rsidR="007C624B" w:rsidRPr="7A7A869F">
        <w:rPr>
          <w:lang w:val="en-GB"/>
        </w:rPr>
        <w:t>Article</w:t>
      </w:r>
      <w:r w:rsidRPr="7A7A869F">
        <w:rPr>
          <w:lang w:val="en-GB"/>
        </w:rPr>
        <w:t xml:space="preserve"> 103 of the UN Charter; and (iii) the situation where a </w:t>
      </w:r>
      <w:r w:rsidR="007C624B" w:rsidRPr="7A7A869F">
        <w:rPr>
          <w:lang w:val="en-GB"/>
        </w:rPr>
        <w:t xml:space="preserve">treaty </w:t>
      </w:r>
      <w:r w:rsidRPr="7A7A869F">
        <w:rPr>
          <w:lang w:val="en-GB"/>
        </w:rPr>
        <w:t xml:space="preserve">expressly provides that it does not allow its Parties to adopt subsequent treaties on certain subject matters, as is the case with the Treaty on the European Union which deprives its Parties </w:t>
      </w:r>
      <w:r w:rsidR="008B5C40" w:rsidRPr="7A7A869F">
        <w:rPr>
          <w:lang w:val="en-GB"/>
        </w:rPr>
        <w:t xml:space="preserve">of </w:t>
      </w:r>
      <w:r w:rsidRPr="7A7A869F">
        <w:rPr>
          <w:lang w:val="en-GB"/>
        </w:rPr>
        <w:t xml:space="preserve">certain of their </w:t>
      </w:r>
      <w:r w:rsidR="004B25BD" w:rsidRPr="7A7A869F">
        <w:rPr>
          <w:lang w:val="en-GB"/>
        </w:rPr>
        <w:t>treaty-</w:t>
      </w:r>
      <w:r w:rsidRPr="7A7A869F">
        <w:rPr>
          <w:lang w:val="en-GB"/>
        </w:rPr>
        <w:t xml:space="preserve">making power by reserving </w:t>
      </w:r>
      <w:r w:rsidR="00051C6A" w:rsidRPr="7A7A869F">
        <w:rPr>
          <w:lang w:val="en-GB"/>
        </w:rPr>
        <w:t xml:space="preserve">it </w:t>
      </w:r>
      <w:r w:rsidRPr="7A7A869F">
        <w:rPr>
          <w:lang w:val="en-GB"/>
        </w:rPr>
        <w:t xml:space="preserve">for the </w:t>
      </w:r>
      <w:r w:rsidR="003F63A1" w:rsidRPr="7A7A869F">
        <w:rPr>
          <w:lang w:val="en-GB"/>
        </w:rPr>
        <w:t>European Union</w:t>
      </w:r>
      <w:r w:rsidRPr="7A7A869F">
        <w:rPr>
          <w:lang w:val="en-GB"/>
        </w:rPr>
        <w:t xml:space="preserve"> exclusive competences (see Article 3 of the TFEU). These three situations can remind the operation of “constitutional” norm by comparison with “contractual” norms. </w:t>
      </w:r>
    </w:p>
    <w:p w14:paraId="4CABE40E" w14:textId="69A89D49" w:rsidR="00FD069D" w:rsidRPr="003F63A1" w:rsidRDefault="00FD069D" w:rsidP="00B5119F">
      <w:pPr>
        <w:pStyle w:val="a3"/>
        <w:numPr>
          <w:ilvl w:val="0"/>
          <w:numId w:val="19"/>
        </w:numPr>
        <w:spacing w:after="120" w:line="360" w:lineRule="auto"/>
        <w:contextualSpacing w:val="0"/>
        <w:rPr>
          <w:lang w:val="en-GB"/>
        </w:rPr>
      </w:pPr>
      <w:r w:rsidRPr="7A7A869F">
        <w:rPr>
          <w:lang w:val="en-GB"/>
        </w:rPr>
        <w:t xml:space="preserve">Needless to </w:t>
      </w:r>
      <w:r w:rsidR="00051C6A" w:rsidRPr="7A7A869F">
        <w:rPr>
          <w:lang w:val="en-GB"/>
        </w:rPr>
        <w:t>mention</w:t>
      </w:r>
      <w:r w:rsidRPr="7A7A869F">
        <w:rPr>
          <w:lang w:val="en-GB"/>
        </w:rPr>
        <w:t xml:space="preserve"> that the GATT 1994 does not contain </w:t>
      </w:r>
      <w:r w:rsidRPr="7A7A869F">
        <w:rPr>
          <w:i/>
          <w:lang w:val="en-GB"/>
        </w:rPr>
        <w:t>jus cogens</w:t>
      </w:r>
      <w:r w:rsidRPr="7A7A869F">
        <w:rPr>
          <w:lang w:val="en-GB"/>
        </w:rPr>
        <w:t xml:space="preserve"> norms. </w:t>
      </w:r>
      <w:r w:rsidR="00051C6A" w:rsidRPr="7A7A869F">
        <w:rPr>
          <w:lang w:val="en-GB"/>
        </w:rPr>
        <w:t xml:space="preserve">And </w:t>
      </w:r>
      <w:r w:rsidRPr="7A7A869F">
        <w:rPr>
          <w:lang w:val="en-GB"/>
        </w:rPr>
        <w:t xml:space="preserve">Article XXIV:8(b) of the GATT </w:t>
      </w:r>
      <w:r w:rsidR="007C624B" w:rsidRPr="7A7A869F">
        <w:rPr>
          <w:lang w:val="en-GB"/>
        </w:rPr>
        <w:t xml:space="preserve">1994 </w:t>
      </w:r>
      <w:r w:rsidRPr="7A7A869F">
        <w:rPr>
          <w:lang w:val="en-GB"/>
        </w:rPr>
        <w:t xml:space="preserve">can of course not be understood as somewhat equivalent to Article 103 of the UN Charter. Likewise, it does not deprive the Contracting Parties of any </w:t>
      </w:r>
      <w:r w:rsidR="00051C6A" w:rsidRPr="7A7A869F">
        <w:rPr>
          <w:lang w:val="en-GB"/>
        </w:rPr>
        <w:t>portion</w:t>
      </w:r>
      <w:r w:rsidRPr="7A7A869F">
        <w:rPr>
          <w:lang w:val="en-GB"/>
        </w:rPr>
        <w:t xml:space="preserve"> of their </w:t>
      </w:r>
      <w:r w:rsidR="00667B30" w:rsidRPr="7A7A869F">
        <w:rPr>
          <w:lang w:val="en-GB"/>
        </w:rPr>
        <w:t>treaty-</w:t>
      </w:r>
      <w:r w:rsidRPr="7A7A869F">
        <w:rPr>
          <w:lang w:val="en-GB"/>
        </w:rPr>
        <w:t xml:space="preserve">making power. In fact, it merely states which conditions Preferential Trade </w:t>
      </w:r>
      <w:r w:rsidR="00051C6A" w:rsidRPr="7A7A869F">
        <w:rPr>
          <w:lang w:val="en-GB"/>
        </w:rPr>
        <w:t>Agreements</w:t>
      </w:r>
      <w:r w:rsidR="00CC60ED" w:rsidRPr="7A7A869F">
        <w:rPr>
          <w:lang w:val="en-GB"/>
        </w:rPr>
        <w:t xml:space="preserve"> (“PTA”)</w:t>
      </w:r>
      <w:r w:rsidRPr="7A7A869F">
        <w:rPr>
          <w:lang w:val="en-GB"/>
        </w:rPr>
        <w:t xml:space="preserve"> must fulfil in order to be FTAs, and therefore deemed consistent with the GATT 1994.</w:t>
      </w:r>
    </w:p>
    <w:p w14:paraId="5E1380EC" w14:textId="609964EB" w:rsidR="00FD069D" w:rsidRPr="003F63A1" w:rsidRDefault="00FD069D" w:rsidP="009D2D08">
      <w:pPr>
        <w:pStyle w:val="a3"/>
        <w:numPr>
          <w:ilvl w:val="0"/>
          <w:numId w:val="19"/>
        </w:numPr>
        <w:spacing w:after="120" w:line="360" w:lineRule="auto"/>
        <w:contextualSpacing w:val="0"/>
        <w:rPr>
          <w:lang w:val="en-GB"/>
        </w:rPr>
      </w:pPr>
      <w:r w:rsidRPr="7A7A869F">
        <w:rPr>
          <w:lang w:val="en-GB"/>
        </w:rPr>
        <w:t>It follows that the GATT</w:t>
      </w:r>
      <w:r w:rsidR="007C624B" w:rsidRPr="7A7A869F">
        <w:rPr>
          <w:lang w:val="en-GB"/>
        </w:rPr>
        <w:t xml:space="preserve"> 1994</w:t>
      </w:r>
      <w:r w:rsidRPr="7A7A869F">
        <w:rPr>
          <w:lang w:val="en-GB"/>
        </w:rPr>
        <w:t xml:space="preserve"> itself envisages the situation where a </w:t>
      </w:r>
      <w:r w:rsidR="00051C6A" w:rsidRPr="7A7A869F">
        <w:rPr>
          <w:lang w:val="en-GB"/>
        </w:rPr>
        <w:t xml:space="preserve">PTA </w:t>
      </w:r>
      <w:r w:rsidRPr="7A7A869F">
        <w:rPr>
          <w:lang w:val="en-GB"/>
        </w:rPr>
        <w:t xml:space="preserve">would not be deemed consistent with its own provisions. Indeed, from the mere fact that Article XXIV:8(b) indicates at which conditions a PTA will be deemed consistent with the GATT </w:t>
      </w:r>
      <w:r w:rsidR="00667B30" w:rsidRPr="7A7A869F">
        <w:rPr>
          <w:lang w:val="en-GB"/>
        </w:rPr>
        <w:t>1994</w:t>
      </w:r>
      <w:r w:rsidRPr="7A7A869F">
        <w:rPr>
          <w:lang w:val="en-GB"/>
        </w:rPr>
        <w:t xml:space="preserve"> because it is a</w:t>
      </w:r>
      <w:r w:rsidR="00F66152" w:rsidRPr="7A7A869F">
        <w:rPr>
          <w:lang w:val="en-GB"/>
        </w:rPr>
        <w:t>n</w:t>
      </w:r>
      <w:r w:rsidRPr="7A7A869F">
        <w:rPr>
          <w:lang w:val="en-GB"/>
        </w:rPr>
        <w:t xml:space="preserve"> FTA, one can conclude that according to the GATT </w:t>
      </w:r>
      <w:r w:rsidR="00667B30" w:rsidRPr="7A7A869F">
        <w:rPr>
          <w:lang w:val="en-GB"/>
        </w:rPr>
        <w:t>1994</w:t>
      </w:r>
      <w:r w:rsidRPr="7A7A869F">
        <w:rPr>
          <w:lang w:val="en-GB"/>
        </w:rPr>
        <w:t xml:space="preserve"> itself there are cases in which a PTA will not be deemed consistent with the GATT</w:t>
      </w:r>
      <w:r w:rsidR="003D17A1" w:rsidRPr="7A7A869F">
        <w:rPr>
          <w:lang w:val="en-GB"/>
        </w:rPr>
        <w:t xml:space="preserve"> </w:t>
      </w:r>
      <w:r w:rsidR="00667B30" w:rsidRPr="7A7A869F">
        <w:rPr>
          <w:lang w:val="en-GB"/>
        </w:rPr>
        <w:t xml:space="preserve">1994 </w:t>
      </w:r>
      <w:r w:rsidR="003D17A1" w:rsidRPr="7A7A869F">
        <w:rPr>
          <w:lang w:val="en-GB"/>
        </w:rPr>
        <w:t>because it does not create an authentic free-trade area</w:t>
      </w:r>
      <w:r w:rsidRPr="7A7A869F">
        <w:rPr>
          <w:lang w:val="en-GB"/>
        </w:rPr>
        <w:t>. It does not mean that this PTA will necessarily be inconsistent with the GATT</w:t>
      </w:r>
      <w:r w:rsidR="00667B30" w:rsidRPr="7A7A869F">
        <w:rPr>
          <w:lang w:val="en-GB"/>
        </w:rPr>
        <w:t xml:space="preserve"> 1994</w:t>
      </w:r>
      <w:r w:rsidRPr="7A7A869F">
        <w:rPr>
          <w:lang w:val="en-GB"/>
        </w:rPr>
        <w:t xml:space="preserve">, but that the regulations and other acts adopted by the Parties </w:t>
      </w:r>
      <w:r w:rsidR="003D17A1" w:rsidRPr="7A7A869F">
        <w:rPr>
          <w:lang w:val="en-GB"/>
        </w:rPr>
        <w:t>under</w:t>
      </w:r>
      <w:r w:rsidRPr="7A7A869F">
        <w:rPr>
          <w:lang w:val="en-GB"/>
        </w:rPr>
        <w:t xml:space="preserve"> this PTA will not be </w:t>
      </w:r>
      <w:r w:rsidR="003D17A1" w:rsidRPr="7A7A869F">
        <w:rPr>
          <w:lang w:val="en-GB"/>
        </w:rPr>
        <w:t xml:space="preserve">deemed </w:t>
      </w:r>
      <w:r w:rsidRPr="7A7A869F">
        <w:rPr>
          <w:lang w:val="en-GB"/>
        </w:rPr>
        <w:t xml:space="preserve">immune from challenges </w:t>
      </w:r>
      <w:r w:rsidR="003D17A1" w:rsidRPr="7A7A869F">
        <w:rPr>
          <w:lang w:val="en-GB"/>
        </w:rPr>
        <w:t xml:space="preserve">as to their </w:t>
      </w:r>
      <w:r w:rsidRPr="7A7A869F">
        <w:rPr>
          <w:lang w:val="en-GB"/>
        </w:rPr>
        <w:t>consistency with the GATT</w:t>
      </w:r>
      <w:r w:rsidR="00667B30" w:rsidRPr="7A7A869F">
        <w:rPr>
          <w:lang w:val="en-GB"/>
        </w:rPr>
        <w:t xml:space="preserve"> 1994</w:t>
      </w:r>
      <w:r w:rsidRPr="7A7A869F">
        <w:rPr>
          <w:lang w:val="en-GB"/>
        </w:rPr>
        <w:t xml:space="preserve">. </w:t>
      </w:r>
      <w:r w:rsidR="003D17A1" w:rsidRPr="7A7A869F">
        <w:rPr>
          <w:lang w:val="en-GB"/>
        </w:rPr>
        <w:t>T</w:t>
      </w:r>
      <w:r w:rsidRPr="7A7A869F">
        <w:rPr>
          <w:lang w:val="en-GB"/>
        </w:rPr>
        <w:t xml:space="preserve">he “shield” offered by the status of FTA </w:t>
      </w:r>
      <w:r w:rsidR="003D17A1" w:rsidRPr="7A7A869F">
        <w:rPr>
          <w:lang w:val="en-GB"/>
        </w:rPr>
        <w:t xml:space="preserve">will </w:t>
      </w:r>
      <w:r w:rsidRPr="7A7A869F">
        <w:rPr>
          <w:lang w:val="en-GB"/>
        </w:rPr>
        <w:t>be</w:t>
      </w:r>
      <w:r w:rsidR="003D17A1" w:rsidRPr="7A7A869F">
        <w:rPr>
          <w:lang w:val="en-GB"/>
        </w:rPr>
        <w:t xml:space="preserve"> un</w:t>
      </w:r>
      <w:r w:rsidRPr="7A7A869F">
        <w:rPr>
          <w:lang w:val="en-GB"/>
        </w:rPr>
        <w:t xml:space="preserve">available. That means that a regulation </w:t>
      </w:r>
      <w:r w:rsidR="003D17A1" w:rsidRPr="7A7A869F">
        <w:rPr>
          <w:lang w:val="en-GB"/>
        </w:rPr>
        <w:t xml:space="preserve">adopted by one Party to the PTA </w:t>
      </w:r>
      <w:r w:rsidRPr="7A7A869F">
        <w:rPr>
          <w:lang w:val="en-GB"/>
        </w:rPr>
        <w:t xml:space="preserve">can be fully consistent with </w:t>
      </w:r>
      <w:r w:rsidR="003D17A1" w:rsidRPr="7A7A869F">
        <w:rPr>
          <w:lang w:val="en-GB"/>
        </w:rPr>
        <w:t xml:space="preserve">this </w:t>
      </w:r>
      <w:r w:rsidRPr="7A7A869F">
        <w:rPr>
          <w:lang w:val="en-GB"/>
        </w:rPr>
        <w:t xml:space="preserve">PTA, but </w:t>
      </w:r>
      <w:r w:rsidR="003D17A1" w:rsidRPr="7A7A869F">
        <w:rPr>
          <w:lang w:val="en-GB"/>
        </w:rPr>
        <w:t xml:space="preserve">still </w:t>
      </w:r>
      <w:r w:rsidRPr="7A7A869F">
        <w:rPr>
          <w:lang w:val="en-GB"/>
        </w:rPr>
        <w:t xml:space="preserve">challengeable </w:t>
      </w:r>
      <w:r w:rsidR="003D17A1" w:rsidRPr="7A7A869F">
        <w:rPr>
          <w:lang w:val="en-GB"/>
        </w:rPr>
        <w:t xml:space="preserve">under </w:t>
      </w:r>
      <w:r w:rsidRPr="7A7A869F">
        <w:rPr>
          <w:lang w:val="en-GB"/>
        </w:rPr>
        <w:t>the GATT</w:t>
      </w:r>
      <w:r w:rsidR="003D17A1" w:rsidRPr="7A7A869F">
        <w:rPr>
          <w:lang w:val="en-GB"/>
        </w:rPr>
        <w:t xml:space="preserve"> 1994</w:t>
      </w:r>
      <w:r w:rsidRPr="7A7A869F">
        <w:rPr>
          <w:lang w:val="en-GB"/>
        </w:rPr>
        <w:t>.</w:t>
      </w:r>
    </w:p>
    <w:p w14:paraId="6A382AB0" w14:textId="04A6E4F8" w:rsidR="00FD069D" w:rsidRPr="003F63A1" w:rsidRDefault="00FD069D" w:rsidP="009D2D08">
      <w:pPr>
        <w:pStyle w:val="a3"/>
        <w:numPr>
          <w:ilvl w:val="0"/>
          <w:numId w:val="19"/>
        </w:numPr>
        <w:spacing w:after="120" w:line="360" w:lineRule="auto"/>
        <w:contextualSpacing w:val="0"/>
        <w:rPr>
          <w:lang w:val="en-GB"/>
        </w:rPr>
      </w:pPr>
      <w:r w:rsidRPr="7A7A869F">
        <w:rPr>
          <w:lang w:val="en-GB"/>
        </w:rPr>
        <w:lastRenderedPageBreak/>
        <w:t xml:space="preserve">In terms of practice, there is no doubt that a good number of WTO-minus agreements have been concluded – including the one between Peru and Guatemala referred to in </w:t>
      </w:r>
      <w:r w:rsidR="002A33C3" w:rsidRPr="7A7A869F">
        <w:rPr>
          <w:lang w:val="en-GB"/>
        </w:rPr>
        <w:t>Q</w:t>
      </w:r>
      <w:r w:rsidRPr="7A7A869F">
        <w:rPr>
          <w:lang w:val="en-GB"/>
        </w:rPr>
        <w:t>uestion</w:t>
      </w:r>
      <w:r w:rsidR="002A33C3" w:rsidRPr="7A7A869F">
        <w:rPr>
          <w:lang w:val="en-GB"/>
        </w:rPr>
        <w:t xml:space="preserve"> 5 above</w:t>
      </w:r>
      <w:r w:rsidRPr="7A7A869F">
        <w:rPr>
          <w:lang w:val="en-GB"/>
        </w:rPr>
        <w:t xml:space="preserve">. The well-known OECD study on </w:t>
      </w:r>
      <w:r w:rsidRPr="7A7A869F">
        <w:rPr>
          <w:i/>
          <w:lang w:val="en-GB"/>
        </w:rPr>
        <w:t>“Multilateralising Regionalism: Disciplines on Export Restrictions in Regional Trade Agreements”</w:t>
      </w:r>
      <w:r w:rsidRPr="7A7A869F">
        <w:rPr>
          <w:lang w:val="en-GB"/>
        </w:rPr>
        <w:t>, which is in the public domain,</w:t>
      </w:r>
      <w:r w:rsidRPr="7A7A869F">
        <w:rPr>
          <w:rStyle w:val="af6"/>
          <w:lang w:val="en-GB"/>
        </w:rPr>
        <w:footnoteReference w:id="28"/>
      </w:r>
      <w:r w:rsidRPr="7A7A869F">
        <w:rPr>
          <w:lang w:val="en-GB"/>
        </w:rPr>
        <w:t xml:space="preserve"> gives a lot of examples of WTO-minus agreements with respect to export restrictions, clarifying that “WTO-minus RTA allows export restrictions where the WTO does not”, or that “they allow export restrictions on products that would not be allowed under WTO disciplines</w:t>
      </w:r>
      <w:r w:rsidR="00346451" w:rsidRPr="7A7A869F">
        <w:rPr>
          <w:lang w:val="en-GB"/>
        </w:rPr>
        <w:t>”</w:t>
      </w:r>
      <w:r w:rsidRPr="7A7A869F">
        <w:rPr>
          <w:lang w:val="en-GB"/>
        </w:rPr>
        <w:t>.</w:t>
      </w:r>
      <w:r w:rsidRPr="7A7A869F">
        <w:rPr>
          <w:rStyle w:val="af6"/>
          <w:lang w:val="en-GB"/>
        </w:rPr>
        <w:footnoteReference w:id="29"/>
      </w:r>
      <w:r w:rsidRPr="7A7A869F">
        <w:rPr>
          <w:lang w:val="en-GB"/>
        </w:rPr>
        <w:t xml:space="preserve"> The OECD calculated that 22 out of 93 PTA were concerned, while only 15 were categorized as WTO-</w:t>
      </w:r>
      <w:r w:rsidR="00346451" w:rsidRPr="7A7A869F">
        <w:rPr>
          <w:lang w:val="en-GB"/>
        </w:rPr>
        <w:t xml:space="preserve">plus </w:t>
      </w:r>
      <w:r w:rsidRPr="7A7A869F">
        <w:rPr>
          <w:lang w:val="en-GB"/>
        </w:rPr>
        <w:t>agreements. The practice seems</w:t>
      </w:r>
      <w:r w:rsidR="008B5C40" w:rsidRPr="7A7A869F">
        <w:rPr>
          <w:lang w:val="en-GB"/>
        </w:rPr>
        <w:t>,</w:t>
      </w:r>
      <w:r w:rsidRPr="7A7A869F">
        <w:rPr>
          <w:lang w:val="en-GB"/>
        </w:rPr>
        <w:t xml:space="preserve"> therefore</w:t>
      </w:r>
      <w:r w:rsidR="008B5C40" w:rsidRPr="7A7A869F">
        <w:rPr>
          <w:lang w:val="en-GB"/>
        </w:rPr>
        <w:t>,</w:t>
      </w:r>
      <w:r w:rsidRPr="7A7A869F">
        <w:rPr>
          <w:lang w:val="en-GB"/>
        </w:rPr>
        <w:t xml:space="preserve"> to show a far more nuanced legal reality than the one described by the </w:t>
      </w:r>
      <w:r w:rsidR="003F63A1" w:rsidRPr="7A7A869F">
        <w:rPr>
          <w:lang w:val="en-GB"/>
        </w:rPr>
        <w:t>European Union</w:t>
      </w:r>
      <w:r w:rsidRPr="7A7A869F">
        <w:rPr>
          <w:lang w:val="en-GB"/>
        </w:rPr>
        <w:t>.</w:t>
      </w:r>
    </w:p>
    <w:p w14:paraId="0181EA5C" w14:textId="0EA27CD1" w:rsidR="00FD069D" w:rsidRPr="003F63A1" w:rsidRDefault="00FD069D" w:rsidP="009D2D08">
      <w:pPr>
        <w:pStyle w:val="a3"/>
        <w:numPr>
          <w:ilvl w:val="0"/>
          <w:numId w:val="19"/>
        </w:numPr>
        <w:spacing w:after="120" w:line="360" w:lineRule="auto"/>
        <w:contextualSpacing w:val="0"/>
        <w:rPr>
          <w:lang w:val="en-GB"/>
        </w:rPr>
      </w:pPr>
      <w:r w:rsidRPr="7A7A869F">
        <w:rPr>
          <w:lang w:val="en-GB"/>
        </w:rPr>
        <w:t>Ukraine</w:t>
      </w:r>
      <w:r w:rsidR="008B5C40" w:rsidRPr="7A7A869F">
        <w:rPr>
          <w:lang w:val="en-GB"/>
        </w:rPr>
        <w:t>,</w:t>
      </w:r>
      <w:r w:rsidRPr="7A7A869F">
        <w:rPr>
          <w:lang w:val="en-GB"/>
        </w:rPr>
        <w:t xml:space="preserve"> therefore</w:t>
      </w:r>
      <w:r w:rsidR="008B5C40" w:rsidRPr="7A7A869F">
        <w:rPr>
          <w:lang w:val="en-GB"/>
        </w:rPr>
        <w:t>,</w:t>
      </w:r>
      <w:r w:rsidRPr="7A7A869F">
        <w:rPr>
          <w:lang w:val="en-GB"/>
        </w:rPr>
        <w:t xml:space="preserve"> maintains that its legal views are not contradicted by Article XXIV:8(b) of the GATT 1994.</w:t>
      </w:r>
    </w:p>
    <w:p w14:paraId="12747E29" w14:textId="77777777" w:rsidR="00FD069D" w:rsidRPr="003F63A1" w:rsidRDefault="00FD069D" w:rsidP="00202EA2">
      <w:pPr>
        <w:pStyle w:val="3"/>
        <w:rPr>
          <w:rFonts w:cs="Times New Roman"/>
          <w:szCs w:val="26"/>
          <w:lang w:val="en-GB"/>
        </w:rPr>
      </w:pPr>
      <w:bookmarkStart w:id="42" w:name="_Toc52886578"/>
      <w:bookmarkStart w:id="43" w:name="_Toc52896883"/>
      <w:r w:rsidRPr="003F63A1">
        <w:rPr>
          <w:rFonts w:cs="Times New Roman"/>
          <w:szCs w:val="26"/>
          <w:lang w:val="en-GB"/>
        </w:rPr>
        <w:t>B - Article XXIV:8(b) is irrelevant in the current case</w:t>
      </w:r>
      <w:bookmarkEnd w:id="42"/>
      <w:bookmarkEnd w:id="43"/>
      <w:r w:rsidRPr="003F63A1">
        <w:rPr>
          <w:rFonts w:cs="Times New Roman"/>
          <w:szCs w:val="26"/>
          <w:lang w:val="en-GB"/>
        </w:rPr>
        <w:t xml:space="preserve"> </w:t>
      </w:r>
    </w:p>
    <w:p w14:paraId="235D3258" w14:textId="5AB69485" w:rsidR="00FD069D" w:rsidRPr="003F63A1" w:rsidRDefault="00FD069D" w:rsidP="009D2D08">
      <w:pPr>
        <w:pStyle w:val="a3"/>
        <w:numPr>
          <w:ilvl w:val="0"/>
          <w:numId w:val="19"/>
        </w:numPr>
        <w:spacing w:after="120" w:line="360" w:lineRule="auto"/>
        <w:contextualSpacing w:val="0"/>
        <w:rPr>
          <w:lang w:val="en-GB"/>
        </w:rPr>
      </w:pPr>
      <w:r w:rsidRPr="7A7A869F">
        <w:rPr>
          <w:lang w:val="en-GB"/>
        </w:rPr>
        <w:t>One important point of contention between the Parties relate</w:t>
      </w:r>
      <w:r w:rsidR="00346451" w:rsidRPr="7A7A869F">
        <w:rPr>
          <w:lang w:val="en-GB"/>
        </w:rPr>
        <w:t>s</w:t>
      </w:r>
      <w:r w:rsidRPr="7A7A869F">
        <w:rPr>
          <w:lang w:val="en-GB"/>
        </w:rPr>
        <w:t xml:space="preserve"> to the question whether Article 35 </w:t>
      </w:r>
      <w:r w:rsidR="00346451" w:rsidRPr="7A7A869F">
        <w:rPr>
          <w:lang w:val="en-GB"/>
        </w:rPr>
        <w:t xml:space="preserve">of the Association Agreement </w:t>
      </w:r>
      <w:r w:rsidRPr="7A7A869F">
        <w:rPr>
          <w:lang w:val="en-GB"/>
        </w:rPr>
        <w:t>operates upon the entry into for</w:t>
      </w:r>
      <w:r w:rsidR="00346451" w:rsidRPr="7A7A869F">
        <w:rPr>
          <w:lang w:val="en-GB"/>
        </w:rPr>
        <w:t>ce</w:t>
      </w:r>
      <w:r w:rsidRPr="7A7A869F">
        <w:rPr>
          <w:lang w:val="en-GB"/>
        </w:rPr>
        <w:t xml:space="preserve"> of the </w:t>
      </w:r>
      <w:r w:rsidR="00346451" w:rsidRPr="7A7A869F">
        <w:rPr>
          <w:lang w:val="en-GB"/>
        </w:rPr>
        <w:t>Association Agreement</w:t>
      </w:r>
      <w:r w:rsidRPr="7A7A869F">
        <w:rPr>
          <w:lang w:val="en-GB"/>
        </w:rPr>
        <w:t>, or at the end of the 10-ye</w:t>
      </w:r>
      <w:r w:rsidR="00346451" w:rsidRPr="7A7A869F">
        <w:rPr>
          <w:lang w:val="en-GB"/>
        </w:rPr>
        <w:t>a</w:t>
      </w:r>
      <w:r w:rsidRPr="7A7A869F">
        <w:rPr>
          <w:lang w:val="en-GB"/>
        </w:rPr>
        <w:t xml:space="preserve">r period granted to the Parties to establish a </w:t>
      </w:r>
      <w:r w:rsidR="009B278F" w:rsidRPr="7A7A869F">
        <w:rPr>
          <w:lang w:val="en-GB"/>
        </w:rPr>
        <w:t>free-</w:t>
      </w:r>
      <w:r w:rsidRPr="7A7A869F">
        <w:rPr>
          <w:lang w:val="en-GB"/>
        </w:rPr>
        <w:t xml:space="preserve">trade area. The </w:t>
      </w:r>
      <w:r w:rsidR="00346451" w:rsidRPr="7A7A869F">
        <w:rPr>
          <w:lang w:val="en-GB"/>
        </w:rPr>
        <w:t xml:space="preserve">European Union </w:t>
      </w:r>
      <w:r w:rsidRPr="7A7A869F">
        <w:rPr>
          <w:lang w:val="en-GB"/>
        </w:rPr>
        <w:t xml:space="preserve">has made an argument based on Article XXIV:8(b) </w:t>
      </w:r>
      <w:r w:rsidR="00346451" w:rsidRPr="7A7A869F">
        <w:rPr>
          <w:lang w:val="en-GB"/>
        </w:rPr>
        <w:t xml:space="preserve">of the GATT 1994 </w:t>
      </w:r>
      <w:r w:rsidRPr="7A7A869F">
        <w:rPr>
          <w:lang w:val="en-GB"/>
        </w:rPr>
        <w:t xml:space="preserve">in its </w:t>
      </w:r>
      <w:r w:rsidR="00275158" w:rsidRPr="7A7A869F">
        <w:rPr>
          <w:lang w:val="en-GB"/>
        </w:rPr>
        <w:t xml:space="preserve">Provisional </w:t>
      </w:r>
      <w:r w:rsidRPr="7A7A869F">
        <w:rPr>
          <w:lang w:val="en-GB"/>
        </w:rPr>
        <w:t>Oral Statement, at par</w:t>
      </w:r>
      <w:r w:rsidR="009B3FBA" w:rsidRPr="7A7A869F">
        <w:rPr>
          <w:lang w:val="en-GB"/>
        </w:rPr>
        <w:t>a</w:t>
      </w:r>
      <w:r w:rsidR="009B278F" w:rsidRPr="7A7A869F">
        <w:rPr>
          <w:lang w:val="en-GB"/>
        </w:rPr>
        <w:t xml:space="preserve">graph </w:t>
      </w:r>
      <w:r w:rsidRPr="7A7A869F">
        <w:rPr>
          <w:lang w:val="en-GB"/>
        </w:rPr>
        <w:t xml:space="preserve">23 onward. </w:t>
      </w:r>
      <w:r w:rsidR="009B278F" w:rsidRPr="7A7A869F">
        <w:rPr>
          <w:lang w:val="en-GB"/>
        </w:rPr>
        <w:t>However,</w:t>
      </w:r>
      <w:r w:rsidRPr="7A7A869F">
        <w:rPr>
          <w:lang w:val="en-GB"/>
        </w:rPr>
        <w:t xml:space="preserve"> this </w:t>
      </w:r>
      <w:r w:rsidR="00275158" w:rsidRPr="7A7A869F">
        <w:rPr>
          <w:lang w:val="en-GB"/>
        </w:rPr>
        <w:t>A</w:t>
      </w:r>
      <w:r w:rsidR="009B3FBA" w:rsidRPr="7A7A869F">
        <w:rPr>
          <w:lang w:val="en-GB"/>
        </w:rPr>
        <w:t>rticle</w:t>
      </w:r>
      <w:r w:rsidR="009B278F" w:rsidRPr="7A7A869F">
        <w:rPr>
          <w:lang w:val="en-GB"/>
        </w:rPr>
        <w:t xml:space="preserve"> </w:t>
      </w:r>
      <w:r w:rsidR="009B3FBA" w:rsidRPr="7A7A869F">
        <w:rPr>
          <w:lang w:val="en-GB"/>
        </w:rPr>
        <w:t xml:space="preserve">of the GATT </w:t>
      </w:r>
      <w:r w:rsidR="00E11370" w:rsidRPr="7A7A869F">
        <w:rPr>
          <w:lang w:val="en-GB"/>
        </w:rPr>
        <w:t xml:space="preserve">1994 </w:t>
      </w:r>
      <w:r w:rsidRPr="7A7A869F">
        <w:rPr>
          <w:lang w:val="en-GB"/>
        </w:rPr>
        <w:t>is irrelevant.</w:t>
      </w:r>
    </w:p>
    <w:p w14:paraId="2CB4EFEC" w14:textId="473E11BB" w:rsidR="00FD069D" w:rsidRPr="003F63A1" w:rsidRDefault="00FD069D" w:rsidP="009D2D08">
      <w:pPr>
        <w:pStyle w:val="a3"/>
        <w:numPr>
          <w:ilvl w:val="0"/>
          <w:numId w:val="19"/>
        </w:numPr>
        <w:spacing w:after="120" w:line="360" w:lineRule="auto"/>
        <w:contextualSpacing w:val="0"/>
        <w:rPr>
          <w:lang w:val="en-GB"/>
        </w:rPr>
      </w:pPr>
      <w:r w:rsidRPr="7A7A869F">
        <w:rPr>
          <w:lang w:val="en-GB"/>
        </w:rPr>
        <w:t xml:space="preserve">Article XXIV </w:t>
      </w:r>
      <w:r w:rsidR="009B3FBA" w:rsidRPr="7A7A869F">
        <w:rPr>
          <w:lang w:val="en-GB"/>
        </w:rPr>
        <w:t xml:space="preserve">of the GATT 1994 </w:t>
      </w:r>
      <w:r w:rsidRPr="7A7A869F">
        <w:rPr>
          <w:lang w:val="en-GB"/>
        </w:rPr>
        <w:t>reads, in relevant parts:</w:t>
      </w:r>
    </w:p>
    <w:p w14:paraId="3464F9B7" w14:textId="17994EF2" w:rsidR="00FD069D" w:rsidRPr="003F63A1" w:rsidRDefault="00FD069D" w:rsidP="0055296E">
      <w:pPr>
        <w:spacing w:after="120" w:line="360" w:lineRule="auto"/>
        <w:ind w:left="720" w:right="567"/>
        <w:jc w:val="both"/>
        <w:rPr>
          <w:sz w:val="26"/>
          <w:szCs w:val="26"/>
          <w:lang w:val="en-GB"/>
        </w:rPr>
      </w:pPr>
      <w:r w:rsidRPr="003F63A1">
        <w:rPr>
          <w:sz w:val="26"/>
          <w:szCs w:val="26"/>
          <w:lang w:val="en-GB"/>
        </w:rPr>
        <w:t xml:space="preserve">“4. The contracting parties recognize </w:t>
      </w:r>
      <w:r w:rsidR="00275158" w:rsidRPr="003F63A1">
        <w:rPr>
          <w:sz w:val="26"/>
          <w:szCs w:val="26"/>
          <w:lang w:val="en-GB"/>
        </w:rPr>
        <w:t>[</w:t>
      </w:r>
      <w:r w:rsidRPr="003F63A1">
        <w:rPr>
          <w:sz w:val="26"/>
          <w:szCs w:val="26"/>
          <w:lang w:val="en-GB"/>
        </w:rPr>
        <w:t>…</w:t>
      </w:r>
      <w:r w:rsidR="00275158" w:rsidRPr="003F63A1">
        <w:rPr>
          <w:sz w:val="26"/>
          <w:szCs w:val="26"/>
          <w:lang w:val="en-GB"/>
        </w:rPr>
        <w:t>]</w:t>
      </w:r>
      <w:r w:rsidRPr="003F63A1">
        <w:rPr>
          <w:sz w:val="26"/>
          <w:szCs w:val="26"/>
          <w:lang w:val="en-GB"/>
        </w:rPr>
        <w:t xml:space="preserve"> that the purpose </w:t>
      </w:r>
      <w:r w:rsidR="00275158" w:rsidRPr="003F63A1">
        <w:rPr>
          <w:sz w:val="26"/>
          <w:szCs w:val="26"/>
          <w:lang w:val="en-GB"/>
        </w:rPr>
        <w:t>[</w:t>
      </w:r>
      <w:r w:rsidRPr="003F63A1">
        <w:rPr>
          <w:sz w:val="26"/>
          <w:szCs w:val="26"/>
          <w:lang w:val="en-GB"/>
        </w:rPr>
        <w:t>…</w:t>
      </w:r>
      <w:r w:rsidR="00275158" w:rsidRPr="003F63A1">
        <w:rPr>
          <w:sz w:val="26"/>
          <w:szCs w:val="26"/>
          <w:lang w:val="en-GB"/>
        </w:rPr>
        <w:t>]</w:t>
      </w:r>
      <w:r w:rsidRPr="003F63A1">
        <w:rPr>
          <w:sz w:val="26"/>
          <w:szCs w:val="26"/>
          <w:lang w:val="en-GB"/>
        </w:rPr>
        <w:t xml:space="preserve"> of free-trade area should be to facilitate trade between the constituent territories and not to raise barriers to the trade of other contracting parties with such territories.</w:t>
      </w:r>
    </w:p>
    <w:p w14:paraId="017FCADA" w14:textId="6C97E957" w:rsidR="00FD069D" w:rsidRPr="003F63A1" w:rsidRDefault="00FD069D" w:rsidP="0055296E">
      <w:pPr>
        <w:spacing w:after="120" w:line="360" w:lineRule="auto"/>
        <w:ind w:left="720" w:right="567"/>
        <w:jc w:val="both"/>
        <w:rPr>
          <w:lang w:val="en-GB"/>
        </w:rPr>
      </w:pPr>
      <w:r w:rsidRPr="003F63A1">
        <w:rPr>
          <w:sz w:val="26"/>
          <w:szCs w:val="26"/>
          <w:lang w:val="en-GB"/>
        </w:rPr>
        <w:lastRenderedPageBreak/>
        <w:t xml:space="preserve">5. Accordingly, the provisions of this Agreement shall not prevent, as between the territories of contracting parties, the formation of </w:t>
      </w:r>
      <w:r w:rsidR="00275158" w:rsidRPr="003F63A1">
        <w:rPr>
          <w:sz w:val="26"/>
          <w:szCs w:val="26"/>
          <w:lang w:val="en-GB"/>
        </w:rPr>
        <w:t>[</w:t>
      </w:r>
      <w:r w:rsidRPr="003F63A1">
        <w:rPr>
          <w:sz w:val="26"/>
          <w:szCs w:val="26"/>
          <w:lang w:val="en-GB"/>
        </w:rPr>
        <w:t>…</w:t>
      </w:r>
      <w:r w:rsidR="00275158" w:rsidRPr="003F63A1">
        <w:rPr>
          <w:sz w:val="26"/>
          <w:szCs w:val="26"/>
          <w:lang w:val="en-GB"/>
        </w:rPr>
        <w:t>]</w:t>
      </w:r>
      <w:r w:rsidRPr="003F63A1">
        <w:rPr>
          <w:sz w:val="26"/>
          <w:szCs w:val="26"/>
          <w:lang w:val="en-GB"/>
        </w:rPr>
        <w:t xml:space="preserve"> an interim agreement necessary for the formation of a </w:t>
      </w:r>
      <w:r w:rsidR="00275158" w:rsidRPr="003F63A1">
        <w:rPr>
          <w:sz w:val="26"/>
          <w:szCs w:val="26"/>
          <w:lang w:val="en-GB"/>
        </w:rPr>
        <w:t>[</w:t>
      </w:r>
      <w:r w:rsidRPr="003F63A1">
        <w:rPr>
          <w:sz w:val="26"/>
          <w:szCs w:val="26"/>
          <w:lang w:val="en-GB"/>
        </w:rPr>
        <w:t>...</w:t>
      </w:r>
      <w:r w:rsidR="00275158" w:rsidRPr="003F63A1">
        <w:rPr>
          <w:sz w:val="26"/>
          <w:szCs w:val="26"/>
          <w:lang w:val="en-GB"/>
        </w:rPr>
        <w:t>]</w:t>
      </w:r>
      <w:r w:rsidRPr="003F63A1">
        <w:rPr>
          <w:sz w:val="26"/>
          <w:szCs w:val="26"/>
          <w:lang w:val="en-GB"/>
        </w:rPr>
        <w:t xml:space="preserve"> free-trade area; </w:t>
      </w:r>
      <w:r w:rsidRPr="003F63A1">
        <w:rPr>
          <w:i/>
          <w:iCs/>
          <w:sz w:val="26"/>
          <w:szCs w:val="26"/>
          <w:lang w:val="en-GB"/>
        </w:rPr>
        <w:t xml:space="preserve">Provided </w:t>
      </w:r>
      <w:r w:rsidRPr="003F63A1">
        <w:rPr>
          <w:sz w:val="26"/>
          <w:szCs w:val="26"/>
          <w:lang w:val="en-GB"/>
        </w:rPr>
        <w:t>that with respect to</w:t>
      </w:r>
      <w:r w:rsidR="00275158" w:rsidRPr="003F63A1">
        <w:rPr>
          <w:sz w:val="26"/>
          <w:szCs w:val="26"/>
          <w:lang w:val="en-GB"/>
        </w:rPr>
        <w:t xml:space="preserve"> […] </w:t>
      </w:r>
      <w:r w:rsidRPr="003F63A1">
        <w:rPr>
          <w:sz w:val="26"/>
          <w:szCs w:val="26"/>
          <w:lang w:val="en-GB"/>
        </w:rPr>
        <w:t xml:space="preserve">an interim agreement leading to the formation of a free-trade area, the duties and other regulations of commerce maintained </w:t>
      </w:r>
      <w:r w:rsidR="00275158" w:rsidRPr="003F63A1">
        <w:rPr>
          <w:sz w:val="26"/>
          <w:szCs w:val="26"/>
          <w:lang w:val="en-GB"/>
        </w:rPr>
        <w:t>[</w:t>
      </w:r>
      <w:r w:rsidRPr="003F63A1">
        <w:rPr>
          <w:sz w:val="26"/>
          <w:szCs w:val="26"/>
          <w:lang w:val="en-GB"/>
        </w:rPr>
        <w:t>…</w:t>
      </w:r>
      <w:r w:rsidR="00275158" w:rsidRPr="003F63A1">
        <w:rPr>
          <w:sz w:val="26"/>
          <w:szCs w:val="26"/>
          <w:lang w:val="en-GB"/>
        </w:rPr>
        <w:t>]</w:t>
      </w:r>
      <w:r w:rsidRPr="003F63A1">
        <w:rPr>
          <w:sz w:val="26"/>
          <w:szCs w:val="26"/>
          <w:lang w:val="en-GB"/>
        </w:rPr>
        <w:t xml:space="preserve"> to the trade of contracting parties not included in such area or not parties to such agreement shall not be higher or more restrictive than the corresponding duties and other regulations of commerce existing in the same constituent territories prior to the </w:t>
      </w:r>
      <w:r w:rsidR="00275158" w:rsidRPr="003F63A1">
        <w:rPr>
          <w:sz w:val="26"/>
          <w:szCs w:val="26"/>
          <w:lang w:val="en-GB"/>
        </w:rPr>
        <w:t>[</w:t>
      </w:r>
      <w:r w:rsidRPr="003F63A1">
        <w:rPr>
          <w:sz w:val="26"/>
          <w:szCs w:val="26"/>
          <w:lang w:val="en-GB"/>
        </w:rPr>
        <w:t>…</w:t>
      </w:r>
      <w:r w:rsidR="00275158" w:rsidRPr="003F63A1">
        <w:rPr>
          <w:sz w:val="26"/>
          <w:szCs w:val="26"/>
          <w:lang w:val="en-GB"/>
        </w:rPr>
        <w:t>]</w:t>
      </w:r>
      <w:r w:rsidRPr="003F63A1">
        <w:rPr>
          <w:sz w:val="26"/>
          <w:szCs w:val="26"/>
          <w:lang w:val="en-GB"/>
        </w:rPr>
        <w:t xml:space="preserve"> interim agreement</w:t>
      </w:r>
      <w:r w:rsidR="356169AF" w:rsidRPr="356169AF">
        <w:rPr>
          <w:sz w:val="26"/>
          <w:szCs w:val="26"/>
          <w:lang w:val="en-GB"/>
        </w:rPr>
        <w:t>.</w:t>
      </w:r>
    </w:p>
    <w:p w14:paraId="73B3E525" w14:textId="77777777" w:rsidR="00FD069D" w:rsidRPr="003F63A1" w:rsidRDefault="00FD069D" w:rsidP="0055296E">
      <w:pPr>
        <w:spacing w:after="120" w:line="360" w:lineRule="auto"/>
        <w:ind w:left="709" w:hanging="11"/>
        <w:rPr>
          <w:sz w:val="26"/>
          <w:szCs w:val="26"/>
          <w:lang w:val="en-GB"/>
        </w:rPr>
      </w:pPr>
      <w:r w:rsidRPr="003F63A1">
        <w:rPr>
          <w:sz w:val="26"/>
          <w:szCs w:val="26"/>
          <w:lang w:val="en-GB"/>
        </w:rPr>
        <w:t xml:space="preserve">8. For the purposes of this Agreement: </w:t>
      </w:r>
    </w:p>
    <w:p w14:paraId="576AA959" w14:textId="2203C8B2" w:rsidR="00FD069D" w:rsidRPr="003F63A1" w:rsidRDefault="00FD069D" w:rsidP="0055296E">
      <w:pPr>
        <w:spacing w:after="120" w:line="360" w:lineRule="auto"/>
        <w:ind w:left="709" w:hanging="11"/>
        <w:jc w:val="both"/>
        <w:rPr>
          <w:sz w:val="26"/>
          <w:szCs w:val="26"/>
          <w:lang w:val="en-GB"/>
        </w:rPr>
      </w:pPr>
      <w:r w:rsidRPr="003F63A1">
        <w:rPr>
          <w:sz w:val="26"/>
          <w:szCs w:val="26"/>
          <w:lang w:val="en-GB"/>
        </w:rPr>
        <w:t>(b) A free-trade area shall be understood to mean a group of two or more customs territories in which the duties and other restrictive regulations of commerce (except, where necessary, those permitted under Articles XI, XII, XIII, XIV, XV and XX) are eliminated on substantially all the trade between the constituent territories in products originating in such territories</w:t>
      </w:r>
      <w:r w:rsidR="009B3FBA" w:rsidRPr="003F63A1">
        <w:rPr>
          <w:sz w:val="26"/>
          <w:szCs w:val="26"/>
          <w:lang w:val="en-GB"/>
        </w:rPr>
        <w:t>”.</w:t>
      </w:r>
    </w:p>
    <w:p w14:paraId="428DE89C" w14:textId="13757D00" w:rsidR="00FD069D" w:rsidRPr="003F63A1" w:rsidRDefault="00FD069D" w:rsidP="00275158">
      <w:pPr>
        <w:pStyle w:val="a3"/>
        <w:numPr>
          <w:ilvl w:val="0"/>
          <w:numId w:val="19"/>
        </w:numPr>
        <w:spacing w:after="120" w:line="360" w:lineRule="auto"/>
        <w:contextualSpacing w:val="0"/>
        <w:rPr>
          <w:lang w:val="en-GB"/>
        </w:rPr>
      </w:pPr>
      <w:r w:rsidRPr="7A7A869F">
        <w:rPr>
          <w:lang w:val="en-GB"/>
        </w:rPr>
        <w:t>Ukraine notes, in passing, that the challenged export wood bans</w:t>
      </w:r>
      <w:r w:rsidR="009B3FBA" w:rsidRPr="7A7A869F">
        <w:rPr>
          <w:lang w:val="en-GB"/>
        </w:rPr>
        <w:t>, i.e. the “2005 export ban” and the “2015 temporary export ban”,</w:t>
      </w:r>
      <w:r w:rsidRPr="7A7A869F">
        <w:rPr>
          <w:lang w:val="en-GB"/>
        </w:rPr>
        <w:t xml:space="preserve"> were in place </w:t>
      </w:r>
      <w:r w:rsidRPr="7A7A869F">
        <w:rPr>
          <w:i/>
          <w:lang w:val="en-GB"/>
        </w:rPr>
        <w:t xml:space="preserve">before </w:t>
      </w:r>
      <w:r w:rsidRPr="7A7A869F">
        <w:rPr>
          <w:lang w:val="en-GB"/>
        </w:rPr>
        <w:t xml:space="preserve">the entry into force of the </w:t>
      </w:r>
      <w:r w:rsidR="009B3FBA" w:rsidRPr="7A7A869F">
        <w:rPr>
          <w:lang w:val="en-GB"/>
        </w:rPr>
        <w:t>Association Agreement</w:t>
      </w:r>
      <w:r w:rsidRPr="7A7A869F">
        <w:rPr>
          <w:i/>
          <w:lang w:val="en-GB"/>
        </w:rPr>
        <w:t xml:space="preserve">. </w:t>
      </w:r>
      <w:r w:rsidRPr="7A7A869F">
        <w:rPr>
          <w:lang w:val="en-GB"/>
        </w:rPr>
        <w:t>They are therefore fully consistent with Article XXIV:4 and XXIV:5(b)</w:t>
      </w:r>
      <w:r w:rsidR="00DD25E2" w:rsidRPr="7A7A869F">
        <w:rPr>
          <w:lang w:val="en-GB"/>
        </w:rPr>
        <w:t xml:space="preserve"> of the GATT 1994</w:t>
      </w:r>
      <w:r w:rsidRPr="7A7A869F">
        <w:rPr>
          <w:lang w:val="en-GB"/>
        </w:rPr>
        <w:t>.</w:t>
      </w:r>
    </w:p>
    <w:p w14:paraId="166B56FC" w14:textId="16FD52B4" w:rsidR="004E6520" w:rsidRPr="003F63A1" w:rsidRDefault="004E6520" w:rsidP="00202EA2">
      <w:pPr>
        <w:pStyle w:val="2"/>
        <w:rPr>
          <w:rFonts w:cs="Times New Roman"/>
          <w:lang w:val="en-GB"/>
        </w:rPr>
      </w:pPr>
      <w:bookmarkStart w:id="44" w:name="_Toc52886579"/>
      <w:bookmarkStart w:id="45" w:name="_Toc52896884"/>
      <w:r w:rsidRPr="003F63A1">
        <w:rPr>
          <w:rFonts w:cs="Times New Roman"/>
          <w:lang w:val="en-GB"/>
        </w:rPr>
        <w:t>Question 6</w:t>
      </w:r>
      <w:bookmarkEnd w:id="44"/>
      <w:bookmarkEnd w:id="45"/>
    </w:p>
    <w:p w14:paraId="6A629803" w14:textId="1F3F4E54" w:rsidR="004E6520" w:rsidRPr="003F63A1" w:rsidRDefault="004E6520" w:rsidP="0027768E">
      <w:pPr>
        <w:spacing w:after="120"/>
        <w:jc w:val="both"/>
        <w:rPr>
          <w:sz w:val="26"/>
          <w:szCs w:val="26"/>
          <w:lang w:val="en-GB"/>
        </w:rPr>
      </w:pPr>
      <w:r w:rsidRPr="003F63A1">
        <w:rPr>
          <w:rStyle w:val="st"/>
          <w:b/>
          <w:bCs/>
          <w:sz w:val="26"/>
          <w:szCs w:val="26"/>
          <w:lang w:val="en-GB"/>
        </w:rPr>
        <w:t>MR Christian HÄBERLI</w:t>
      </w:r>
      <w:r w:rsidRPr="003F63A1">
        <w:rPr>
          <w:rStyle w:val="st"/>
          <w:sz w:val="26"/>
          <w:szCs w:val="26"/>
          <w:lang w:val="en-GB"/>
        </w:rPr>
        <w:t xml:space="preserve">: </w:t>
      </w:r>
      <w:r w:rsidRPr="003F63A1">
        <w:rPr>
          <w:sz w:val="26"/>
          <w:szCs w:val="26"/>
          <w:lang w:val="en-GB"/>
        </w:rPr>
        <w:t xml:space="preserve">“My second question is in environmental protection. Can </w:t>
      </w:r>
      <w:r w:rsidR="0027768E" w:rsidRPr="003F63A1">
        <w:rPr>
          <w:sz w:val="26"/>
          <w:szCs w:val="26"/>
          <w:lang w:val="en-GB"/>
        </w:rPr>
        <w:t xml:space="preserve">the </w:t>
      </w:r>
      <w:r w:rsidR="00A33AF0">
        <w:rPr>
          <w:sz w:val="26"/>
          <w:szCs w:val="26"/>
          <w:lang w:val="en-GB"/>
        </w:rPr>
        <w:t>[</w:t>
      </w:r>
      <w:r w:rsidR="003F63A1" w:rsidRPr="003F63A1">
        <w:rPr>
          <w:sz w:val="26"/>
          <w:szCs w:val="26"/>
          <w:lang w:val="en-GB"/>
        </w:rPr>
        <w:t>European Union</w:t>
      </w:r>
      <w:r w:rsidR="00A33AF0">
        <w:rPr>
          <w:sz w:val="26"/>
          <w:szCs w:val="26"/>
          <w:lang w:val="en-GB"/>
        </w:rPr>
        <w:t>]</w:t>
      </w:r>
      <w:r w:rsidRPr="003F63A1">
        <w:rPr>
          <w:sz w:val="26"/>
          <w:szCs w:val="26"/>
          <w:lang w:val="en-GB"/>
        </w:rPr>
        <w:t xml:space="preserve"> envisage a provision for environmental protection which would be compatible with </w:t>
      </w:r>
      <w:r w:rsidR="0027768E" w:rsidRPr="003F63A1">
        <w:rPr>
          <w:sz w:val="26"/>
          <w:szCs w:val="26"/>
          <w:lang w:val="en-GB"/>
        </w:rPr>
        <w:t xml:space="preserve">Article </w:t>
      </w:r>
      <w:r w:rsidRPr="003F63A1">
        <w:rPr>
          <w:sz w:val="26"/>
          <w:szCs w:val="26"/>
          <w:lang w:val="en-GB"/>
        </w:rPr>
        <w:t xml:space="preserve">3 – national treatment, not incompatible with </w:t>
      </w:r>
      <w:r w:rsidR="0027768E" w:rsidRPr="003F63A1">
        <w:rPr>
          <w:sz w:val="26"/>
          <w:szCs w:val="26"/>
          <w:lang w:val="en-GB"/>
        </w:rPr>
        <w:t xml:space="preserve">Article </w:t>
      </w:r>
      <w:r w:rsidRPr="003F63A1">
        <w:rPr>
          <w:sz w:val="26"/>
          <w:szCs w:val="26"/>
          <w:lang w:val="en-GB"/>
        </w:rPr>
        <w:t>35 a</w:t>
      </w:r>
      <w:r w:rsidR="0027768E" w:rsidRPr="003F63A1">
        <w:rPr>
          <w:sz w:val="26"/>
          <w:szCs w:val="26"/>
          <w:lang w:val="en-GB"/>
        </w:rPr>
        <w:t>n</w:t>
      </w:r>
      <w:r w:rsidRPr="003F63A1">
        <w:rPr>
          <w:sz w:val="26"/>
          <w:szCs w:val="26"/>
          <w:lang w:val="en-GB"/>
        </w:rPr>
        <w:t>d if such a provision could be taken under Ukraine</w:t>
      </w:r>
      <w:r w:rsidR="0027768E" w:rsidRPr="003F63A1">
        <w:rPr>
          <w:sz w:val="26"/>
          <w:szCs w:val="26"/>
          <w:lang w:val="en-GB"/>
        </w:rPr>
        <w:t>’</w:t>
      </w:r>
      <w:r w:rsidRPr="003F63A1">
        <w:rPr>
          <w:sz w:val="26"/>
          <w:szCs w:val="26"/>
          <w:lang w:val="en-GB"/>
        </w:rPr>
        <w:t>s right to regulate, if it was different from, but equivalent to</w:t>
      </w:r>
      <w:r w:rsidR="00D51ACD" w:rsidRPr="003F63A1">
        <w:rPr>
          <w:sz w:val="26"/>
          <w:szCs w:val="26"/>
          <w:lang w:val="en-GB"/>
        </w:rPr>
        <w:t>,</w:t>
      </w:r>
      <w:r w:rsidRPr="003F63A1">
        <w:rPr>
          <w:sz w:val="26"/>
          <w:szCs w:val="26"/>
          <w:lang w:val="en-GB"/>
        </w:rPr>
        <w:t xml:space="preserve"> a similar </w:t>
      </w:r>
      <w:r w:rsidR="00A33AF0">
        <w:rPr>
          <w:sz w:val="26"/>
          <w:szCs w:val="26"/>
          <w:lang w:val="en-GB"/>
        </w:rPr>
        <w:t>[</w:t>
      </w:r>
      <w:r w:rsidR="003F63A1" w:rsidRPr="003F63A1">
        <w:rPr>
          <w:sz w:val="26"/>
          <w:szCs w:val="26"/>
          <w:lang w:val="en-GB"/>
        </w:rPr>
        <w:t>European Union</w:t>
      </w:r>
      <w:r w:rsidR="00A33AF0">
        <w:rPr>
          <w:sz w:val="26"/>
          <w:szCs w:val="26"/>
          <w:lang w:val="en-GB"/>
        </w:rPr>
        <w:t>]</w:t>
      </w:r>
      <w:r w:rsidRPr="003F63A1">
        <w:rPr>
          <w:sz w:val="26"/>
          <w:szCs w:val="26"/>
          <w:lang w:val="en-GB"/>
        </w:rPr>
        <w:t xml:space="preserve"> regulation. I am referring to the article in the TFEU</w:t>
      </w:r>
      <w:r w:rsidR="00D51ACD" w:rsidRPr="003F63A1">
        <w:rPr>
          <w:sz w:val="26"/>
          <w:szCs w:val="26"/>
          <w:lang w:val="en-GB"/>
        </w:rPr>
        <w:t>,</w:t>
      </w:r>
      <w:r w:rsidRPr="003F63A1">
        <w:rPr>
          <w:sz w:val="26"/>
          <w:szCs w:val="26"/>
          <w:lang w:val="en-GB"/>
        </w:rPr>
        <w:t xml:space="preserve"> which is </w:t>
      </w:r>
      <w:r w:rsidR="0027768E" w:rsidRPr="003F63A1">
        <w:rPr>
          <w:sz w:val="26"/>
          <w:szCs w:val="26"/>
          <w:lang w:val="en-GB"/>
        </w:rPr>
        <w:t xml:space="preserve">Article </w:t>
      </w:r>
      <w:r w:rsidRPr="003F63A1">
        <w:rPr>
          <w:sz w:val="26"/>
          <w:szCs w:val="26"/>
          <w:lang w:val="en-GB"/>
        </w:rPr>
        <w:t>217, integration, common market. And I ask you to (</w:t>
      </w:r>
      <w:r w:rsidRPr="003F63A1">
        <w:rPr>
          <w:i/>
          <w:iCs/>
          <w:sz w:val="26"/>
          <w:szCs w:val="26"/>
          <w:lang w:val="en-GB"/>
        </w:rPr>
        <w:t xml:space="preserve">unintelligible) </w:t>
      </w:r>
      <w:r w:rsidRPr="003F63A1">
        <w:rPr>
          <w:sz w:val="26"/>
          <w:szCs w:val="26"/>
          <w:lang w:val="en-GB"/>
        </w:rPr>
        <w:t>a different provision for environmental protection could be compatible with the Association Agreement in this sense.</w:t>
      </w:r>
      <w:r w:rsidR="0027768E" w:rsidRPr="003F63A1">
        <w:rPr>
          <w:sz w:val="26"/>
          <w:szCs w:val="26"/>
          <w:lang w:val="en-GB"/>
        </w:rPr>
        <w:t>”</w:t>
      </w:r>
    </w:p>
    <w:p w14:paraId="148A1209" w14:textId="5AAC9E91" w:rsidR="0027768E" w:rsidRPr="003F63A1" w:rsidRDefault="0027768E" w:rsidP="0090551F">
      <w:pPr>
        <w:pStyle w:val="a3"/>
        <w:numPr>
          <w:ilvl w:val="0"/>
          <w:numId w:val="19"/>
        </w:numPr>
        <w:spacing w:after="120" w:line="360" w:lineRule="auto"/>
        <w:rPr>
          <w:lang w:val="en-GB"/>
        </w:rPr>
      </w:pPr>
      <w:r w:rsidRPr="7A7A869F">
        <w:rPr>
          <w:lang w:val="en-GB"/>
        </w:rPr>
        <w:t xml:space="preserve">A question for the </w:t>
      </w:r>
      <w:r w:rsidR="003F63A1" w:rsidRPr="7A7A869F">
        <w:rPr>
          <w:lang w:val="en-GB"/>
        </w:rPr>
        <w:t>European Union</w:t>
      </w:r>
      <w:r w:rsidRPr="7A7A869F">
        <w:rPr>
          <w:lang w:val="en-GB"/>
        </w:rPr>
        <w:t>.</w:t>
      </w:r>
    </w:p>
    <w:p w14:paraId="224B4F53" w14:textId="466EAE0D" w:rsidR="0027768E" w:rsidRPr="003F63A1" w:rsidRDefault="0027768E" w:rsidP="0015502F">
      <w:pPr>
        <w:pStyle w:val="2"/>
        <w:rPr>
          <w:rFonts w:cs="Times New Roman"/>
          <w:lang w:val="en-GB"/>
        </w:rPr>
      </w:pPr>
      <w:bookmarkStart w:id="46" w:name="_Toc52886580"/>
      <w:bookmarkStart w:id="47" w:name="_Toc52896885"/>
      <w:r w:rsidRPr="003F63A1">
        <w:rPr>
          <w:rFonts w:cs="Times New Roman"/>
          <w:lang w:val="en-GB"/>
        </w:rPr>
        <w:lastRenderedPageBreak/>
        <w:t>Question 7</w:t>
      </w:r>
      <w:r w:rsidR="0015502F" w:rsidRPr="003F63A1">
        <w:rPr>
          <w:rFonts w:cs="Times New Roman"/>
          <w:lang w:val="en-GB"/>
        </w:rPr>
        <w:t xml:space="preserve"> - Sustainability commitments under Chapter 13</w:t>
      </w:r>
      <w:bookmarkEnd w:id="46"/>
      <w:bookmarkEnd w:id="47"/>
    </w:p>
    <w:p w14:paraId="3E2EF6C6" w14:textId="200F195F" w:rsidR="0027768E" w:rsidRPr="003F63A1" w:rsidRDefault="0027768E" w:rsidP="0027768E">
      <w:pPr>
        <w:spacing w:after="120"/>
        <w:jc w:val="both"/>
        <w:rPr>
          <w:sz w:val="26"/>
          <w:szCs w:val="26"/>
          <w:lang w:val="en-GB"/>
        </w:rPr>
      </w:pPr>
      <w:r w:rsidRPr="003F63A1">
        <w:rPr>
          <w:rStyle w:val="st"/>
          <w:b/>
          <w:bCs/>
          <w:sz w:val="26"/>
          <w:szCs w:val="26"/>
          <w:lang w:val="en-GB"/>
        </w:rPr>
        <w:t>MR Christian HÄBERLI</w:t>
      </w:r>
      <w:r w:rsidRPr="003F63A1">
        <w:rPr>
          <w:rStyle w:val="st"/>
          <w:sz w:val="26"/>
          <w:szCs w:val="26"/>
          <w:lang w:val="en-GB"/>
        </w:rPr>
        <w:t xml:space="preserve">: </w:t>
      </w:r>
      <w:r w:rsidRPr="003F63A1">
        <w:rPr>
          <w:sz w:val="26"/>
          <w:szCs w:val="26"/>
          <w:lang w:val="en-GB"/>
        </w:rPr>
        <w:t>“The third one, we take it, we have heard that both Parties stand by their sustainability commitments in accordance with Chapter 13 of the Association Agreement. Whether that applies here or not is not now my question. My question is whether unsustainable trade could oblige or allow one party to apply, as a measure of last resort, after exhaustion of any attempt to avoid or to solve the conflict. Whether a party to the Association Agreement could apply sanctions such as (</w:t>
      </w:r>
      <w:r w:rsidRPr="003F63A1">
        <w:rPr>
          <w:i/>
          <w:iCs/>
          <w:sz w:val="26"/>
          <w:szCs w:val="26"/>
          <w:lang w:val="en-GB"/>
        </w:rPr>
        <w:t>unintelligible)</w:t>
      </w:r>
      <w:r w:rsidRPr="003F63A1">
        <w:rPr>
          <w:sz w:val="26"/>
          <w:szCs w:val="26"/>
          <w:lang w:val="en-GB"/>
        </w:rPr>
        <w:t xml:space="preserve"> of tariff reference for a product allegedly manufactured or harvested in violation of the sustainability principles and obligations under </w:t>
      </w:r>
      <w:r w:rsidR="00D43B83" w:rsidRPr="003F63A1">
        <w:rPr>
          <w:sz w:val="26"/>
          <w:szCs w:val="26"/>
          <w:lang w:val="en-GB"/>
        </w:rPr>
        <w:t xml:space="preserve">Chapter </w:t>
      </w:r>
      <w:r w:rsidRPr="003F63A1">
        <w:rPr>
          <w:sz w:val="26"/>
          <w:szCs w:val="26"/>
          <w:lang w:val="en-GB"/>
        </w:rPr>
        <w:t xml:space="preserve">13. This is a scenario, lets call it eco-dumping. Assume that under </w:t>
      </w:r>
      <w:r w:rsidR="00D51ACD" w:rsidRPr="003F63A1">
        <w:rPr>
          <w:sz w:val="26"/>
          <w:szCs w:val="26"/>
          <w:lang w:val="en-GB"/>
        </w:rPr>
        <w:t xml:space="preserve">an </w:t>
      </w:r>
      <w:r w:rsidRPr="003F63A1">
        <w:rPr>
          <w:sz w:val="26"/>
          <w:szCs w:val="26"/>
          <w:lang w:val="en-GB"/>
        </w:rPr>
        <w:t>eco-dumping scenario you would still maintain MFN tariff levels, just abolish the preferential tariff concession. And in the absence of case law, which you said yesterday very right, there is no case</w:t>
      </w:r>
      <w:r w:rsidR="00D8281F" w:rsidRPr="003F63A1">
        <w:rPr>
          <w:sz w:val="26"/>
          <w:szCs w:val="26"/>
          <w:lang w:val="en-GB"/>
        </w:rPr>
        <w:t xml:space="preserve"> </w:t>
      </w:r>
      <w:r w:rsidRPr="003F63A1">
        <w:rPr>
          <w:sz w:val="26"/>
          <w:szCs w:val="26"/>
          <w:lang w:val="en-GB"/>
        </w:rPr>
        <w:t>law yet, for (</w:t>
      </w:r>
      <w:r w:rsidRPr="003F63A1">
        <w:rPr>
          <w:i/>
          <w:iCs/>
          <w:sz w:val="26"/>
          <w:szCs w:val="26"/>
          <w:lang w:val="en-GB"/>
        </w:rPr>
        <w:t>unintelligible)</w:t>
      </w:r>
      <w:r w:rsidRPr="003F63A1">
        <w:rPr>
          <w:sz w:val="26"/>
          <w:szCs w:val="26"/>
          <w:lang w:val="en-GB"/>
        </w:rPr>
        <w:t xml:space="preserve"> integration agreement under TFEU 217, your answer will obviously be only tentative, so I am not disputing that, but I think your answer would be interesting to see, whether there is some sort of last resort sanction possible under a</w:t>
      </w:r>
      <w:r w:rsidR="00D8281F" w:rsidRPr="003F63A1">
        <w:rPr>
          <w:sz w:val="26"/>
          <w:szCs w:val="26"/>
          <w:lang w:val="en-GB"/>
        </w:rPr>
        <w:t>n</w:t>
      </w:r>
      <w:r w:rsidRPr="003F63A1">
        <w:rPr>
          <w:sz w:val="26"/>
          <w:szCs w:val="26"/>
          <w:lang w:val="en-GB"/>
        </w:rPr>
        <w:t xml:space="preserve"> integration agreement as the one we have with Ukraine. That is the first set of questions.”</w:t>
      </w:r>
    </w:p>
    <w:p w14:paraId="684ED542" w14:textId="1EC4D562" w:rsidR="00D43B83" w:rsidRPr="003F63A1" w:rsidRDefault="003F63A1" w:rsidP="0027768E">
      <w:pPr>
        <w:spacing w:after="120"/>
        <w:jc w:val="both"/>
        <w:rPr>
          <w:sz w:val="26"/>
          <w:szCs w:val="26"/>
          <w:lang w:val="en-GB"/>
        </w:rPr>
      </w:pPr>
      <w:r w:rsidRPr="005A2E44">
        <w:rPr>
          <w:b/>
          <w:bCs/>
          <w:sz w:val="26"/>
          <w:szCs w:val="26"/>
          <w:lang w:val="en-GB"/>
        </w:rPr>
        <w:t>European Union</w:t>
      </w:r>
      <w:r w:rsidR="00D43B83" w:rsidRPr="00EA7A03">
        <w:rPr>
          <w:b/>
          <w:bCs/>
          <w:sz w:val="26"/>
          <w:szCs w:val="26"/>
          <w:lang w:val="en-GB"/>
        </w:rPr>
        <w:t>’s</w:t>
      </w:r>
      <w:r w:rsidR="00D43B83" w:rsidRPr="003F63A1">
        <w:rPr>
          <w:b/>
          <w:bCs/>
          <w:sz w:val="26"/>
          <w:szCs w:val="26"/>
          <w:lang w:val="en-GB"/>
        </w:rPr>
        <w:t xml:space="preserve"> question for clarification</w:t>
      </w:r>
      <w:r w:rsidR="00D43B83" w:rsidRPr="003F63A1">
        <w:rPr>
          <w:sz w:val="26"/>
          <w:szCs w:val="26"/>
          <w:lang w:val="en-GB"/>
        </w:rPr>
        <w:t xml:space="preserve">: “You were suggesting or asking whether in the event that one party breaches its obligations under </w:t>
      </w:r>
      <w:r w:rsidR="00F3132F" w:rsidRPr="003F63A1">
        <w:rPr>
          <w:sz w:val="26"/>
          <w:szCs w:val="26"/>
          <w:lang w:val="en-GB"/>
        </w:rPr>
        <w:t xml:space="preserve">Chapter </w:t>
      </w:r>
      <w:r w:rsidR="00D43B83" w:rsidRPr="003F63A1">
        <w:rPr>
          <w:sz w:val="26"/>
          <w:szCs w:val="26"/>
          <w:lang w:val="en-GB"/>
        </w:rPr>
        <w:t>14 of sustainable development, whether in response to that violation and as a last resort the other party could suspend trade concessions, is that your question?”</w:t>
      </w:r>
    </w:p>
    <w:p w14:paraId="2A947ABA" w14:textId="2C79A0D2" w:rsidR="00D43B83" w:rsidRPr="003F63A1" w:rsidRDefault="00D43B83" w:rsidP="0027768E">
      <w:pPr>
        <w:spacing w:after="120"/>
        <w:jc w:val="both"/>
        <w:rPr>
          <w:sz w:val="26"/>
          <w:szCs w:val="26"/>
          <w:lang w:val="en-GB"/>
        </w:rPr>
      </w:pPr>
      <w:r w:rsidRPr="003F63A1">
        <w:rPr>
          <w:rStyle w:val="st"/>
          <w:b/>
          <w:bCs/>
          <w:sz w:val="26"/>
          <w:szCs w:val="26"/>
          <w:lang w:val="en-GB"/>
        </w:rPr>
        <w:t>MR Christian HÄBERLI</w:t>
      </w:r>
      <w:r w:rsidRPr="003F63A1">
        <w:rPr>
          <w:rStyle w:val="st"/>
          <w:sz w:val="26"/>
          <w:szCs w:val="26"/>
          <w:lang w:val="en-GB"/>
        </w:rPr>
        <w:t xml:space="preserve">: “Correct. To my knowledge, the </w:t>
      </w:r>
      <w:r w:rsidR="00A33AF0">
        <w:rPr>
          <w:rStyle w:val="st"/>
          <w:sz w:val="26"/>
          <w:szCs w:val="26"/>
          <w:lang w:val="en-GB"/>
        </w:rPr>
        <w:t>[</w:t>
      </w:r>
      <w:r w:rsidR="003F63A1" w:rsidRPr="003F63A1">
        <w:rPr>
          <w:sz w:val="26"/>
          <w:szCs w:val="26"/>
          <w:lang w:val="en-GB"/>
        </w:rPr>
        <w:t>European Union</w:t>
      </w:r>
      <w:r w:rsidR="00A33AF0">
        <w:rPr>
          <w:sz w:val="26"/>
          <w:szCs w:val="26"/>
          <w:lang w:val="en-GB"/>
        </w:rPr>
        <w:t>]</w:t>
      </w:r>
      <w:r w:rsidRPr="003F63A1">
        <w:rPr>
          <w:rStyle w:val="st"/>
          <w:sz w:val="26"/>
          <w:szCs w:val="26"/>
          <w:lang w:val="en-GB"/>
        </w:rPr>
        <w:t xml:space="preserve"> has never taken such a measure. The </w:t>
      </w:r>
      <w:r w:rsidR="00A33AF0">
        <w:rPr>
          <w:rStyle w:val="st"/>
          <w:sz w:val="26"/>
          <w:szCs w:val="26"/>
          <w:lang w:val="en-GB"/>
        </w:rPr>
        <w:t>[</w:t>
      </w:r>
      <w:r w:rsidR="003F63A1" w:rsidRPr="003F63A1">
        <w:rPr>
          <w:sz w:val="26"/>
          <w:szCs w:val="26"/>
          <w:lang w:val="en-GB"/>
        </w:rPr>
        <w:t>European Union</w:t>
      </w:r>
      <w:r w:rsidR="00A33AF0">
        <w:rPr>
          <w:sz w:val="26"/>
          <w:szCs w:val="26"/>
          <w:lang w:val="en-GB"/>
        </w:rPr>
        <w:t>]</w:t>
      </w:r>
      <w:r w:rsidRPr="003F63A1">
        <w:rPr>
          <w:rStyle w:val="st"/>
          <w:sz w:val="26"/>
          <w:szCs w:val="26"/>
          <w:lang w:val="en-GB"/>
        </w:rPr>
        <w:t xml:space="preserve"> has withdrawn preferences, unilateral, autonomous preferences from </w:t>
      </w:r>
      <w:r w:rsidR="0F092B12" w:rsidRPr="003F63A1">
        <w:rPr>
          <w:rStyle w:val="st"/>
          <w:sz w:val="26"/>
          <w:szCs w:val="26"/>
          <w:lang w:val="en-GB"/>
        </w:rPr>
        <w:t>Belarus</w:t>
      </w:r>
      <w:r w:rsidRPr="003F63A1">
        <w:rPr>
          <w:rStyle w:val="st"/>
          <w:sz w:val="26"/>
          <w:szCs w:val="26"/>
          <w:lang w:val="en-GB"/>
        </w:rPr>
        <w:t xml:space="preserve">, Cambodia and then you have a steel war with the </w:t>
      </w:r>
      <w:r w:rsidR="00A33AF0">
        <w:rPr>
          <w:rStyle w:val="st"/>
          <w:sz w:val="26"/>
          <w:szCs w:val="26"/>
          <w:lang w:val="en-GB"/>
        </w:rPr>
        <w:t>[</w:t>
      </w:r>
      <w:r w:rsidR="003F63A1" w:rsidRPr="003F63A1">
        <w:rPr>
          <w:sz w:val="26"/>
          <w:szCs w:val="26"/>
          <w:lang w:val="en-GB"/>
        </w:rPr>
        <w:t>European Union</w:t>
      </w:r>
      <w:r w:rsidR="00A33AF0">
        <w:rPr>
          <w:sz w:val="26"/>
          <w:szCs w:val="26"/>
          <w:lang w:val="en-GB"/>
        </w:rPr>
        <w:t>]</w:t>
      </w:r>
      <w:r w:rsidRPr="003F63A1">
        <w:rPr>
          <w:rStyle w:val="st"/>
          <w:sz w:val="26"/>
          <w:szCs w:val="26"/>
          <w:lang w:val="en-GB"/>
        </w:rPr>
        <w:t xml:space="preserve"> which is another story, but never in an integration agreement such a measure has been taken, maybe (</w:t>
      </w:r>
      <w:r w:rsidRPr="003F63A1">
        <w:rPr>
          <w:i/>
          <w:iCs/>
          <w:sz w:val="26"/>
          <w:szCs w:val="26"/>
          <w:lang w:val="en-GB"/>
        </w:rPr>
        <w:t xml:space="preserve">unintelligible). </w:t>
      </w:r>
      <w:r w:rsidRPr="003F63A1">
        <w:rPr>
          <w:sz w:val="26"/>
          <w:szCs w:val="26"/>
          <w:lang w:val="en-GB"/>
        </w:rPr>
        <w:t xml:space="preserve">But the question will be still, in a very theoretical case of an eco-dumping, could then one of the two parties, Ukraine or the </w:t>
      </w:r>
      <w:r w:rsidR="00A33AF0">
        <w:rPr>
          <w:sz w:val="26"/>
          <w:szCs w:val="26"/>
          <w:lang w:val="en-GB"/>
        </w:rPr>
        <w:t>[</w:t>
      </w:r>
      <w:r w:rsidR="003F63A1" w:rsidRPr="0055296E">
        <w:rPr>
          <w:sz w:val="26"/>
          <w:szCs w:val="26"/>
          <w:lang w:val="en-GB"/>
        </w:rPr>
        <w:t>European Union</w:t>
      </w:r>
      <w:r w:rsidR="00A33AF0">
        <w:rPr>
          <w:sz w:val="26"/>
          <w:szCs w:val="26"/>
          <w:lang w:val="en-GB"/>
        </w:rPr>
        <w:t>]</w:t>
      </w:r>
      <w:r w:rsidRPr="003F63A1">
        <w:rPr>
          <w:sz w:val="26"/>
          <w:szCs w:val="26"/>
          <w:lang w:val="en-GB"/>
        </w:rPr>
        <w:t xml:space="preserve"> apply such sanctions as to withdrawal of the preferential tariff concession.</w:t>
      </w:r>
      <w:r w:rsidR="001C53D2" w:rsidRPr="003F63A1">
        <w:rPr>
          <w:sz w:val="26"/>
          <w:szCs w:val="26"/>
          <w:lang w:val="en-GB"/>
        </w:rPr>
        <w:t>”</w:t>
      </w:r>
    </w:p>
    <w:p w14:paraId="2AB74A2C" w14:textId="72A4CEB3" w:rsidR="00FD069D" w:rsidRPr="003F63A1" w:rsidRDefault="00FD069D" w:rsidP="00FD069D">
      <w:pPr>
        <w:pStyle w:val="a3"/>
        <w:numPr>
          <w:ilvl w:val="0"/>
          <w:numId w:val="19"/>
        </w:numPr>
        <w:spacing w:after="120" w:line="360" w:lineRule="auto"/>
        <w:rPr>
          <w:lang w:val="en-GB"/>
        </w:rPr>
      </w:pPr>
      <w:r w:rsidRPr="7A7A869F">
        <w:rPr>
          <w:lang w:val="en-GB"/>
        </w:rPr>
        <w:t xml:space="preserve">Although it is a question for the </w:t>
      </w:r>
      <w:r w:rsidR="00AB488B" w:rsidRPr="7A7A869F">
        <w:rPr>
          <w:lang w:val="en-GB"/>
        </w:rPr>
        <w:t>European Union</w:t>
      </w:r>
      <w:r w:rsidRPr="7A7A869F">
        <w:rPr>
          <w:lang w:val="en-GB"/>
        </w:rPr>
        <w:t xml:space="preserve">, Ukraine considers </w:t>
      </w:r>
      <w:r w:rsidR="001E26E3" w:rsidRPr="7A7A869F">
        <w:rPr>
          <w:lang w:val="en-GB"/>
        </w:rPr>
        <w:t xml:space="preserve">that </w:t>
      </w:r>
      <w:r w:rsidRPr="7A7A869F">
        <w:rPr>
          <w:lang w:val="en-GB"/>
        </w:rPr>
        <w:t>it can bring some elements to the reflection.</w:t>
      </w:r>
    </w:p>
    <w:p w14:paraId="628E19DA" w14:textId="2E1DAEC1" w:rsidR="00FD069D" w:rsidRPr="003F63A1" w:rsidRDefault="00FD069D" w:rsidP="00FD069D">
      <w:pPr>
        <w:pStyle w:val="a3"/>
        <w:numPr>
          <w:ilvl w:val="0"/>
          <w:numId w:val="19"/>
        </w:numPr>
        <w:spacing w:after="120" w:line="360" w:lineRule="auto"/>
        <w:rPr>
          <w:lang w:val="en-GB"/>
        </w:rPr>
      </w:pPr>
      <w:r w:rsidRPr="7A7A869F">
        <w:rPr>
          <w:lang w:val="en-GB"/>
        </w:rPr>
        <w:t xml:space="preserve">First, </w:t>
      </w:r>
      <w:r w:rsidR="001E26E3" w:rsidRPr="7A7A869F">
        <w:rPr>
          <w:lang w:val="en-GB"/>
        </w:rPr>
        <w:t xml:space="preserve">Ukraine understands that </w:t>
      </w:r>
      <w:r w:rsidRPr="7A7A869F">
        <w:rPr>
          <w:lang w:val="en-GB"/>
        </w:rPr>
        <w:t xml:space="preserve">the question does not </w:t>
      </w:r>
      <w:r w:rsidR="0002654F" w:rsidRPr="7A7A869F">
        <w:rPr>
          <w:lang w:val="en-GB"/>
        </w:rPr>
        <w:t xml:space="preserve">intend to </w:t>
      </w:r>
      <w:r w:rsidRPr="7A7A869F">
        <w:rPr>
          <w:lang w:val="en-GB"/>
        </w:rPr>
        <w:t>suggest</w:t>
      </w:r>
      <w:r w:rsidR="0002654F" w:rsidRPr="7A7A869F">
        <w:rPr>
          <w:lang w:val="en-GB"/>
        </w:rPr>
        <w:t xml:space="preserve"> </w:t>
      </w:r>
      <w:r w:rsidRPr="7A7A869F">
        <w:rPr>
          <w:lang w:val="en-GB"/>
        </w:rPr>
        <w:t xml:space="preserve">that the challenged measures are “sanctions” </w:t>
      </w:r>
      <w:r w:rsidR="0002654F" w:rsidRPr="7A7A869F">
        <w:rPr>
          <w:lang w:val="en-GB"/>
        </w:rPr>
        <w:t xml:space="preserve">adopted by Ukraine </w:t>
      </w:r>
      <w:r w:rsidRPr="7A7A869F">
        <w:rPr>
          <w:lang w:val="en-GB"/>
        </w:rPr>
        <w:t xml:space="preserve">in relation to </w:t>
      </w:r>
      <w:r w:rsidR="00AB488B" w:rsidRPr="7A7A869F">
        <w:rPr>
          <w:lang w:val="en-GB"/>
        </w:rPr>
        <w:t xml:space="preserve">the European Union’s </w:t>
      </w:r>
      <w:r w:rsidRPr="7A7A869F">
        <w:rPr>
          <w:lang w:val="en-GB"/>
        </w:rPr>
        <w:t xml:space="preserve">conduct. And of course, they are not. Second, the question tries to capture what could be the – or at least one </w:t>
      </w:r>
      <w:r w:rsidR="00AB488B" w:rsidRPr="7A7A869F">
        <w:rPr>
          <w:lang w:val="en-GB"/>
        </w:rPr>
        <w:t xml:space="preserve">– </w:t>
      </w:r>
      <w:r w:rsidRPr="7A7A869F">
        <w:rPr>
          <w:lang w:val="en-GB"/>
        </w:rPr>
        <w:t>legal effect of Chapter 13 on sustainable development</w:t>
      </w:r>
      <w:r w:rsidR="00E957D8" w:rsidRPr="7A7A869F">
        <w:rPr>
          <w:lang w:val="en-GB"/>
        </w:rPr>
        <w:t xml:space="preserve"> commitments</w:t>
      </w:r>
      <w:r w:rsidRPr="7A7A869F">
        <w:rPr>
          <w:lang w:val="en-GB"/>
        </w:rPr>
        <w:t xml:space="preserve">. In short, it enquires whether respect of Chapter 13’s commitment </w:t>
      </w:r>
      <w:r w:rsidR="00E957D8" w:rsidRPr="7A7A869F">
        <w:rPr>
          <w:lang w:val="en-GB"/>
        </w:rPr>
        <w:t xml:space="preserve">by one party </w:t>
      </w:r>
      <w:r w:rsidRPr="7A7A869F">
        <w:rPr>
          <w:lang w:val="en-GB"/>
        </w:rPr>
        <w:t>regarding sustainable development can be ensured by trade measures in the form of “sanctions of last resort”</w:t>
      </w:r>
      <w:r w:rsidR="00E957D8" w:rsidRPr="7A7A869F">
        <w:rPr>
          <w:lang w:val="en-GB"/>
        </w:rPr>
        <w:t xml:space="preserve"> adopted by the other party</w:t>
      </w:r>
      <w:r w:rsidRPr="7A7A869F">
        <w:rPr>
          <w:lang w:val="en-GB"/>
        </w:rPr>
        <w:t>.</w:t>
      </w:r>
    </w:p>
    <w:p w14:paraId="31361095" w14:textId="511B59C7" w:rsidR="00FD069D" w:rsidRPr="003F63A1" w:rsidRDefault="00FD069D" w:rsidP="00FD069D">
      <w:pPr>
        <w:pStyle w:val="a3"/>
        <w:numPr>
          <w:ilvl w:val="0"/>
          <w:numId w:val="19"/>
        </w:numPr>
        <w:spacing w:after="120" w:line="360" w:lineRule="auto"/>
        <w:rPr>
          <w:lang w:val="en-GB"/>
        </w:rPr>
      </w:pPr>
      <w:r w:rsidRPr="7A7A869F">
        <w:rPr>
          <w:lang w:val="en-GB"/>
        </w:rPr>
        <w:lastRenderedPageBreak/>
        <w:t>Ukraine considers that the Association Agreement is very clear that the only procedures available in case of a dispute arising under Chapter 13 are those mentioned in Article 300</w:t>
      </w:r>
      <w:r w:rsidR="00AB488B" w:rsidRPr="7A7A869F">
        <w:rPr>
          <w:lang w:val="en-GB"/>
        </w:rPr>
        <w:t xml:space="preserve"> of the Association Agreement</w:t>
      </w:r>
      <w:r w:rsidRPr="7A7A869F">
        <w:rPr>
          <w:lang w:val="en-GB"/>
        </w:rPr>
        <w:t xml:space="preserve">. It seems that the </w:t>
      </w:r>
      <w:r w:rsidR="00AB488B" w:rsidRPr="7A7A869F">
        <w:rPr>
          <w:lang w:val="en-GB"/>
        </w:rPr>
        <w:t>European Union</w:t>
      </w:r>
      <w:r w:rsidR="00AB488B" w:rsidRPr="7A7A869F" w:rsidDel="00AB488B">
        <w:rPr>
          <w:lang w:val="en-GB"/>
        </w:rPr>
        <w:t xml:space="preserve"> </w:t>
      </w:r>
      <w:r w:rsidRPr="7A7A869F">
        <w:rPr>
          <w:lang w:val="en-GB"/>
        </w:rPr>
        <w:t>is on the very same line, and considers likewise that t</w:t>
      </w:r>
      <w:r w:rsidR="00AB488B" w:rsidRPr="7A7A869F">
        <w:rPr>
          <w:lang w:val="en-GB"/>
        </w:rPr>
        <w:t>r</w:t>
      </w:r>
      <w:r w:rsidRPr="7A7A869F">
        <w:rPr>
          <w:lang w:val="en-GB"/>
        </w:rPr>
        <w:t>ade sanctions are not the appropriate measure</w:t>
      </w:r>
      <w:r w:rsidR="008F3EED" w:rsidRPr="7A7A869F">
        <w:rPr>
          <w:lang w:val="en-GB"/>
        </w:rPr>
        <w:t>s</w:t>
      </w:r>
      <w:r w:rsidRPr="7A7A869F">
        <w:rPr>
          <w:lang w:val="en-GB"/>
        </w:rPr>
        <w:t xml:space="preserve"> in case of non-respect of Chapter 13 commitments. This is explained in a recent </w:t>
      </w:r>
      <w:r w:rsidR="003F63A1" w:rsidRPr="7A7A869F">
        <w:rPr>
          <w:lang w:val="en-GB"/>
        </w:rPr>
        <w:t>European</w:t>
      </w:r>
      <w:r w:rsidRPr="7A7A869F">
        <w:rPr>
          <w:lang w:val="en-GB"/>
        </w:rPr>
        <w:t xml:space="preserve"> Commission non-paper “Feedback and way forward on improving the implementation and enforcement of Trade and Sustainable Development chapters in EU Free Trade Agreements</w:t>
      </w:r>
      <w:r w:rsidR="008F3EED" w:rsidRPr="7A7A869F">
        <w:rPr>
          <w:lang w:val="en-GB"/>
        </w:rPr>
        <w:t>”</w:t>
      </w:r>
      <w:r w:rsidRPr="7A7A869F">
        <w:rPr>
          <w:lang w:val="en-GB"/>
        </w:rPr>
        <w:t xml:space="preserve">, available at </w:t>
      </w:r>
      <w:hyperlink r:id="rId21">
        <w:r w:rsidR="5280B366" w:rsidRPr="7A7A869F">
          <w:rPr>
            <w:rStyle w:val="af2"/>
            <w:lang w:val="en-GB"/>
          </w:rPr>
          <w:t>https://trade.ec.europa.eu/doclib/docs/2018/february/tradoc_156618.pdf</w:t>
        </w:r>
      </w:hyperlink>
      <w:r w:rsidR="5280B366" w:rsidRPr="7A7A869F">
        <w:rPr>
          <w:rStyle w:val="af2"/>
          <w:lang w:val="en-GB"/>
        </w:rPr>
        <w:t>.</w:t>
      </w:r>
    </w:p>
    <w:p w14:paraId="79F32282" w14:textId="214FF7B1" w:rsidR="00D43B83" w:rsidRPr="003F63A1" w:rsidRDefault="00D43B83" w:rsidP="0015502F">
      <w:pPr>
        <w:pStyle w:val="2"/>
        <w:jc w:val="both"/>
        <w:rPr>
          <w:rFonts w:cs="Times New Roman"/>
          <w:lang w:val="en-GB"/>
        </w:rPr>
      </w:pPr>
      <w:bookmarkStart w:id="48" w:name="_Toc52886581"/>
      <w:bookmarkStart w:id="49" w:name="_Toc52896886"/>
      <w:r w:rsidRPr="003F63A1">
        <w:rPr>
          <w:rFonts w:cs="Times New Roman"/>
          <w:lang w:val="en-GB"/>
        </w:rPr>
        <w:t>Question 8</w:t>
      </w:r>
      <w:r w:rsidR="0015502F" w:rsidRPr="003F63A1">
        <w:rPr>
          <w:rFonts w:cs="Times New Roman"/>
          <w:lang w:val="en-GB"/>
        </w:rPr>
        <w:t xml:space="preserve"> – Cooperation between the </w:t>
      </w:r>
      <w:r w:rsidR="003F63A1" w:rsidRPr="003F63A1">
        <w:rPr>
          <w:rFonts w:cs="Times New Roman"/>
          <w:lang w:val="en-GB"/>
        </w:rPr>
        <w:t>European Union</w:t>
      </w:r>
      <w:r w:rsidR="0015502F" w:rsidRPr="003F63A1">
        <w:rPr>
          <w:rFonts w:cs="Times New Roman"/>
          <w:lang w:val="en-GB"/>
        </w:rPr>
        <w:t>’s and Ukraine’s customs authorities on combatting illegal logging</w:t>
      </w:r>
      <w:bookmarkEnd w:id="48"/>
      <w:bookmarkEnd w:id="49"/>
    </w:p>
    <w:p w14:paraId="4D55D155" w14:textId="252FE8F7" w:rsidR="00D43B83" w:rsidRPr="003F63A1" w:rsidRDefault="00D43B83" w:rsidP="00D43B83">
      <w:pPr>
        <w:spacing w:after="120"/>
        <w:jc w:val="both"/>
        <w:rPr>
          <w:sz w:val="26"/>
          <w:szCs w:val="26"/>
          <w:lang w:val="en-GB"/>
        </w:rPr>
      </w:pPr>
      <w:r w:rsidRPr="003F63A1">
        <w:rPr>
          <w:rStyle w:val="st"/>
          <w:b/>
          <w:bCs/>
          <w:sz w:val="26"/>
          <w:szCs w:val="26"/>
          <w:lang w:val="en-GB"/>
        </w:rPr>
        <w:t>MR Christian HÄBERLI</w:t>
      </w:r>
      <w:r w:rsidRPr="003F63A1">
        <w:rPr>
          <w:rStyle w:val="st"/>
          <w:sz w:val="26"/>
          <w:szCs w:val="26"/>
          <w:lang w:val="en-GB"/>
        </w:rPr>
        <w:t xml:space="preserve">: </w:t>
      </w:r>
      <w:r w:rsidRPr="003F63A1">
        <w:rPr>
          <w:sz w:val="26"/>
          <w:szCs w:val="26"/>
          <w:lang w:val="en-GB"/>
        </w:rPr>
        <w:t>“The second set is about illegal logging. […]</w:t>
      </w:r>
      <w:r w:rsidR="001C53D2" w:rsidRPr="003F63A1">
        <w:rPr>
          <w:sz w:val="26"/>
          <w:szCs w:val="26"/>
          <w:lang w:val="en-GB"/>
        </w:rPr>
        <w:t xml:space="preserve"> In my second batch I only have two questions in respect of illegal logging smuggling referring to the questions 14-19 in your presentation yesterday [i.e. the </w:t>
      </w:r>
      <w:r w:rsidR="003F63A1" w:rsidRPr="0055296E">
        <w:rPr>
          <w:sz w:val="26"/>
          <w:szCs w:val="26"/>
          <w:lang w:val="en-GB"/>
        </w:rPr>
        <w:t>European Union</w:t>
      </w:r>
      <w:r w:rsidR="001C53D2" w:rsidRPr="003F63A1">
        <w:rPr>
          <w:sz w:val="26"/>
          <w:szCs w:val="26"/>
          <w:lang w:val="en-GB"/>
        </w:rPr>
        <w:t>’s], keeping in mind your comments also on the Panel</w:t>
      </w:r>
      <w:r w:rsidR="00C85954">
        <w:rPr>
          <w:sz w:val="26"/>
          <w:szCs w:val="26"/>
          <w:lang w:val="en-GB"/>
        </w:rPr>
        <w:t>’</w:t>
      </w:r>
      <w:r w:rsidR="001C53D2" w:rsidRPr="003F63A1">
        <w:rPr>
          <w:sz w:val="26"/>
          <w:szCs w:val="26"/>
          <w:lang w:val="en-GB"/>
        </w:rPr>
        <w:t>s suggestions for issues addressing the hearings</w:t>
      </w:r>
      <w:r w:rsidR="00C85954">
        <w:rPr>
          <w:sz w:val="26"/>
          <w:szCs w:val="26"/>
          <w:lang w:val="en-GB"/>
        </w:rPr>
        <w:t>.</w:t>
      </w:r>
    </w:p>
    <w:p w14:paraId="789091F6" w14:textId="6B060CA4" w:rsidR="001C53D2" w:rsidRPr="003F63A1" w:rsidRDefault="001C53D2" w:rsidP="00D43B83">
      <w:pPr>
        <w:spacing w:after="120"/>
        <w:jc w:val="both"/>
        <w:rPr>
          <w:sz w:val="26"/>
          <w:szCs w:val="26"/>
          <w:lang w:val="en-GB"/>
        </w:rPr>
      </w:pPr>
      <w:r w:rsidRPr="003F63A1">
        <w:rPr>
          <w:sz w:val="26"/>
          <w:szCs w:val="26"/>
          <w:lang w:val="en-GB"/>
        </w:rPr>
        <w:t>The first is</w:t>
      </w:r>
      <w:r w:rsidR="003A0500">
        <w:rPr>
          <w:sz w:val="26"/>
          <w:szCs w:val="26"/>
          <w:lang w:val="en-GB"/>
        </w:rPr>
        <w:t>.</w:t>
      </w:r>
      <w:r w:rsidRPr="003F63A1">
        <w:rPr>
          <w:sz w:val="26"/>
          <w:szCs w:val="26"/>
          <w:lang w:val="en-GB"/>
        </w:rPr>
        <w:t xml:space="preserve"> </w:t>
      </w:r>
      <w:r w:rsidR="003A0500">
        <w:rPr>
          <w:sz w:val="26"/>
          <w:szCs w:val="26"/>
          <w:lang w:val="en-GB"/>
        </w:rPr>
        <w:t>H</w:t>
      </w:r>
      <w:r w:rsidRPr="003F63A1">
        <w:rPr>
          <w:sz w:val="26"/>
          <w:szCs w:val="26"/>
          <w:lang w:val="en-GB"/>
        </w:rPr>
        <w:t xml:space="preserve">ow </w:t>
      </w:r>
      <w:r w:rsidR="003A0500">
        <w:rPr>
          <w:sz w:val="26"/>
          <w:szCs w:val="26"/>
          <w:lang w:val="en-GB"/>
        </w:rPr>
        <w:t xml:space="preserve">do </w:t>
      </w:r>
      <w:r w:rsidRPr="003F63A1">
        <w:rPr>
          <w:sz w:val="26"/>
          <w:szCs w:val="26"/>
          <w:lang w:val="en-GB"/>
        </w:rPr>
        <w:t>customs cooperate when they align their data</w:t>
      </w:r>
      <w:r w:rsidR="003A0500">
        <w:rPr>
          <w:sz w:val="26"/>
          <w:szCs w:val="26"/>
          <w:lang w:val="en-GB"/>
        </w:rPr>
        <w:t>?</w:t>
      </w:r>
      <w:r w:rsidR="003A0500" w:rsidRPr="003F63A1">
        <w:rPr>
          <w:sz w:val="26"/>
          <w:szCs w:val="26"/>
          <w:lang w:val="en-GB"/>
        </w:rPr>
        <w:t xml:space="preserve"> </w:t>
      </w:r>
      <w:r w:rsidRPr="003F63A1">
        <w:rPr>
          <w:sz w:val="26"/>
          <w:szCs w:val="26"/>
          <w:lang w:val="en-GB"/>
        </w:rPr>
        <w:t xml:space="preserve">I am aware of the fact that import and export data, most often, do not correspond at any level of detail, that I am fully aware of the customs practices and the fact that it is more difficult to record export than to record imports, that is how we are and the whole world, but I still would like to know whether there is any sort of coordination of customs between, in this case, Ukraine and the </w:t>
      </w:r>
      <w:r w:rsidR="00A33AF0">
        <w:rPr>
          <w:sz w:val="26"/>
          <w:szCs w:val="26"/>
          <w:lang w:val="en-GB"/>
        </w:rPr>
        <w:t>[</w:t>
      </w:r>
      <w:r w:rsidR="003F63A1" w:rsidRPr="0055296E">
        <w:rPr>
          <w:sz w:val="26"/>
          <w:szCs w:val="26"/>
          <w:lang w:val="en-GB"/>
        </w:rPr>
        <w:t>European Union</w:t>
      </w:r>
      <w:r w:rsidR="00A33AF0">
        <w:rPr>
          <w:sz w:val="26"/>
          <w:szCs w:val="26"/>
          <w:lang w:val="en-GB"/>
        </w:rPr>
        <w:t>]</w:t>
      </w:r>
      <w:r w:rsidR="003F63A1" w:rsidRPr="003F63A1" w:rsidDel="003F63A1">
        <w:rPr>
          <w:sz w:val="26"/>
          <w:szCs w:val="26"/>
          <w:lang w:val="en-GB"/>
        </w:rPr>
        <w:t xml:space="preserve"> </w:t>
      </w:r>
      <w:r w:rsidRPr="003F63A1">
        <w:rPr>
          <w:sz w:val="26"/>
          <w:szCs w:val="26"/>
          <w:lang w:val="en-GB"/>
        </w:rPr>
        <w:t>member states when logs, sawn or unsawn timber goes across the border, for instance for internal taxation. When I come with a train from France to Geneva</w:t>
      </w:r>
      <w:r w:rsidR="00D8281F" w:rsidRPr="003F63A1">
        <w:rPr>
          <w:sz w:val="26"/>
          <w:szCs w:val="26"/>
          <w:lang w:val="en-GB"/>
        </w:rPr>
        <w:t>,</w:t>
      </w:r>
      <w:r w:rsidRPr="003F63A1">
        <w:rPr>
          <w:sz w:val="26"/>
          <w:szCs w:val="26"/>
          <w:lang w:val="en-GB"/>
        </w:rPr>
        <w:t xml:space="preserve"> and I want my </w:t>
      </w:r>
      <w:r w:rsidR="00A62ABB" w:rsidRPr="003F63A1">
        <w:rPr>
          <w:sz w:val="26"/>
          <w:szCs w:val="26"/>
          <w:lang w:val="en-GB"/>
        </w:rPr>
        <w:t>VAT tax</w:t>
      </w:r>
      <w:r w:rsidRPr="003F63A1">
        <w:rPr>
          <w:sz w:val="26"/>
          <w:szCs w:val="26"/>
          <w:lang w:val="en-GB"/>
        </w:rPr>
        <w:t xml:space="preserve"> which I paid in France, they will give it back to me</w:t>
      </w:r>
      <w:r w:rsidR="00D8281F" w:rsidRPr="003F63A1">
        <w:rPr>
          <w:sz w:val="26"/>
          <w:szCs w:val="26"/>
          <w:lang w:val="en-GB"/>
        </w:rPr>
        <w:t>,</w:t>
      </w:r>
      <w:r w:rsidRPr="003F63A1">
        <w:rPr>
          <w:sz w:val="26"/>
          <w:szCs w:val="26"/>
          <w:lang w:val="en-GB"/>
        </w:rPr>
        <w:t xml:space="preserve"> and then they turn around and give to the Swiss custom</w:t>
      </w:r>
      <w:r w:rsidR="008B680A" w:rsidRPr="003F63A1">
        <w:rPr>
          <w:sz w:val="26"/>
          <w:szCs w:val="26"/>
          <w:lang w:val="en-GB"/>
        </w:rPr>
        <w:t>s</w:t>
      </w:r>
      <w:r w:rsidRPr="003F63A1">
        <w:rPr>
          <w:sz w:val="26"/>
          <w:szCs w:val="26"/>
          <w:lang w:val="en-GB"/>
        </w:rPr>
        <w:t xml:space="preserve"> office, finally he will tax me for that VAT immediately, you know, that is what I call customs coordination in a cross-border situation which I know. Are you aware </w:t>
      </w:r>
      <w:r w:rsidR="008B680A" w:rsidRPr="003F63A1">
        <w:rPr>
          <w:sz w:val="26"/>
          <w:szCs w:val="26"/>
          <w:lang w:val="en-GB"/>
        </w:rPr>
        <w:t xml:space="preserve">of </w:t>
      </w:r>
      <w:r w:rsidRPr="003F63A1">
        <w:rPr>
          <w:sz w:val="26"/>
          <w:szCs w:val="26"/>
          <w:lang w:val="en-GB"/>
        </w:rPr>
        <w:t xml:space="preserve">the work done with </w:t>
      </w:r>
      <w:r w:rsidR="008B680A" w:rsidRPr="003F63A1">
        <w:rPr>
          <w:sz w:val="26"/>
          <w:szCs w:val="26"/>
          <w:lang w:val="en-GB"/>
        </w:rPr>
        <w:t xml:space="preserve">the </w:t>
      </w:r>
      <w:r w:rsidRPr="003F63A1">
        <w:rPr>
          <w:sz w:val="26"/>
          <w:szCs w:val="26"/>
          <w:lang w:val="en-GB"/>
        </w:rPr>
        <w:t>World Customs Organization, which tries to align statistical data on customs, and would that clear all in this? This question actually goes to both parties, so if Ukraine wants to answer, that would be very welcomed. Customs coordination for data, for statistics, for taxation, name it. Also, the prevention of fraud, drugs, illegal migration.”</w:t>
      </w:r>
    </w:p>
    <w:p w14:paraId="51ECC6CE" w14:textId="61459485" w:rsidR="000077A0" w:rsidRPr="003F63A1" w:rsidRDefault="001246C7" w:rsidP="00D43B83">
      <w:pPr>
        <w:pStyle w:val="a3"/>
        <w:numPr>
          <w:ilvl w:val="0"/>
          <w:numId w:val="19"/>
        </w:numPr>
        <w:spacing w:after="120" w:line="360" w:lineRule="auto"/>
        <w:rPr>
          <w:lang w:val="en-GB"/>
        </w:rPr>
      </w:pPr>
      <w:r w:rsidRPr="7A7A869F">
        <w:rPr>
          <w:lang w:val="en-GB"/>
        </w:rPr>
        <w:t xml:space="preserve">The </w:t>
      </w:r>
      <w:r w:rsidR="00C85954" w:rsidRPr="7A7A869F">
        <w:rPr>
          <w:lang w:val="en-GB"/>
        </w:rPr>
        <w:t xml:space="preserve">interesting </w:t>
      </w:r>
      <w:r w:rsidRPr="00C85954">
        <w:rPr>
          <w:lang w:val="en-GB"/>
        </w:rPr>
        <w:t xml:space="preserve">point here is what </w:t>
      </w:r>
      <w:r w:rsidR="003F63A1" w:rsidRPr="7A7A869F">
        <w:rPr>
          <w:lang w:val="en-GB"/>
        </w:rPr>
        <w:t>European Union</w:t>
      </w:r>
      <w:r w:rsidRPr="7A7A869F">
        <w:rPr>
          <w:lang w:val="en-GB"/>
        </w:rPr>
        <w:t xml:space="preserve"> Member States’ customs authorities do when a parcel of “fuel wood” (HS </w:t>
      </w:r>
      <w:r w:rsidR="000077A0" w:rsidRPr="7A7A869F">
        <w:rPr>
          <w:lang w:val="en-GB"/>
        </w:rPr>
        <w:t>c</w:t>
      </w:r>
      <w:r w:rsidRPr="7A7A869F">
        <w:rPr>
          <w:lang w:val="en-GB"/>
        </w:rPr>
        <w:t xml:space="preserve">ode </w:t>
      </w:r>
      <w:r w:rsidR="000077A0" w:rsidRPr="7A7A869F">
        <w:rPr>
          <w:lang w:val="en-GB"/>
        </w:rPr>
        <w:t>4401</w:t>
      </w:r>
      <w:r w:rsidRPr="7A7A869F">
        <w:rPr>
          <w:lang w:val="en-GB"/>
        </w:rPr>
        <w:t>)</w:t>
      </w:r>
      <w:r w:rsidR="000077A0" w:rsidRPr="7A7A869F">
        <w:rPr>
          <w:lang w:val="en-GB"/>
        </w:rPr>
        <w:t xml:space="preserve"> is being imported from Ukraine in the circumstance of full awareness that unprocessed timber, i.e. </w:t>
      </w:r>
      <w:r w:rsidR="7A7A869F" w:rsidRPr="7A7A869F">
        <w:rPr>
          <w:lang w:val="en-GB"/>
        </w:rPr>
        <w:t>wood in the rough</w:t>
      </w:r>
      <w:r w:rsidR="000077A0" w:rsidRPr="7A7A869F">
        <w:rPr>
          <w:lang w:val="en-GB"/>
        </w:rPr>
        <w:t xml:space="preserve"> (HS</w:t>
      </w:r>
      <w:r w:rsidR="00C85954" w:rsidRPr="7A7A869F">
        <w:rPr>
          <w:lang w:val="en-GB"/>
        </w:rPr>
        <w:t xml:space="preserve"> code </w:t>
      </w:r>
      <w:r w:rsidR="000077A0" w:rsidRPr="7A7A869F">
        <w:rPr>
          <w:lang w:val="en-GB"/>
        </w:rPr>
        <w:t xml:space="preserve">4403), is prohibited </w:t>
      </w:r>
      <w:r w:rsidR="000E7D2D" w:rsidRPr="7A7A869F">
        <w:rPr>
          <w:lang w:val="en-GB"/>
        </w:rPr>
        <w:t xml:space="preserve">from </w:t>
      </w:r>
      <w:r w:rsidR="000077A0" w:rsidRPr="7A7A869F">
        <w:rPr>
          <w:lang w:val="en-GB"/>
        </w:rPr>
        <w:t>export</w:t>
      </w:r>
      <w:r w:rsidR="000E7D2D" w:rsidRPr="7A7A869F">
        <w:rPr>
          <w:lang w:val="en-GB"/>
        </w:rPr>
        <w:t xml:space="preserve">ing </w:t>
      </w:r>
      <w:r w:rsidR="000077A0" w:rsidRPr="7A7A869F">
        <w:rPr>
          <w:lang w:val="en-GB"/>
        </w:rPr>
        <w:t>from Ukraine.</w:t>
      </w:r>
      <w:r w:rsidR="006C5A9F" w:rsidRPr="7A7A869F">
        <w:rPr>
          <w:lang w:val="en-GB"/>
        </w:rPr>
        <w:t xml:space="preserve"> </w:t>
      </w:r>
    </w:p>
    <w:p w14:paraId="7016D504" w14:textId="5566AAEA" w:rsidR="006C5A9F" w:rsidRPr="003F63A1" w:rsidRDefault="006C5A9F" w:rsidP="00D43B83">
      <w:pPr>
        <w:pStyle w:val="a3"/>
        <w:numPr>
          <w:ilvl w:val="0"/>
          <w:numId w:val="19"/>
        </w:numPr>
        <w:spacing w:after="120" w:line="360" w:lineRule="auto"/>
        <w:rPr>
          <w:lang w:val="en-GB"/>
        </w:rPr>
      </w:pPr>
      <w:r w:rsidRPr="7A7A869F">
        <w:rPr>
          <w:lang w:val="en-GB"/>
        </w:rPr>
        <w:lastRenderedPageBreak/>
        <w:t xml:space="preserve">By responding to Question No. 19 of to the First List of Questions, the European Union </w:t>
      </w:r>
      <w:r w:rsidR="002E1BE6" w:rsidRPr="7A7A869F">
        <w:rPr>
          <w:lang w:val="en-GB"/>
        </w:rPr>
        <w:t>clearly stated that:</w:t>
      </w:r>
    </w:p>
    <w:p w14:paraId="0FD995EA" w14:textId="47CACE5E" w:rsidR="002E1BE6" w:rsidRPr="003F63A1" w:rsidRDefault="002E1BE6" w:rsidP="0055296E">
      <w:pPr>
        <w:spacing w:after="120" w:line="360" w:lineRule="auto"/>
        <w:ind w:left="708" w:right="567"/>
        <w:jc w:val="both"/>
        <w:rPr>
          <w:sz w:val="26"/>
          <w:szCs w:val="26"/>
          <w:lang w:val="en-GB"/>
        </w:rPr>
      </w:pPr>
      <w:r w:rsidRPr="003F63A1">
        <w:rPr>
          <w:sz w:val="26"/>
          <w:szCs w:val="26"/>
          <w:lang w:val="en-GB"/>
        </w:rPr>
        <w:t>“If “wood in the rough” was exported as “fuel wood” and cleared as such by customs in Ukraine, EU operators are usually not in a position to challenge that decision. Only in the rare cases where an operator finds the timber of such high quality and sells it inside the EU or use it for other propose than fuelwood, this could be regarded as a violation to the EU Timber Regulation”</w:t>
      </w:r>
      <w:r w:rsidR="00E87B53" w:rsidRPr="003F63A1">
        <w:rPr>
          <w:sz w:val="26"/>
          <w:szCs w:val="26"/>
          <w:lang w:val="en-GB"/>
        </w:rPr>
        <w:t>.</w:t>
      </w:r>
      <w:r w:rsidR="00A16D83" w:rsidRPr="00A16D83">
        <w:rPr>
          <w:rStyle w:val="af6"/>
          <w:szCs w:val="26"/>
          <w:lang w:val="en-GB"/>
        </w:rPr>
        <w:t xml:space="preserve"> </w:t>
      </w:r>
      <w:r w:rsidR="00A16D83" w:rsidRPr="003F63A1">
        <w:rPr>
          <w:rStyle w:val="af6"/>
          <w:szCs w:val="26"/>
          <w:lang w:val="en-GB"/>
        </w:rPr>
        <w:footnoteReference w:id="30"/>
      </w:r>
    </w:p>
    <w:p w14:paraId="4C0B6804" w14:textId="28355A30" w:rsidR="00E87B53" w:rsidRPr="003F63A1" w:rsidRDefault="00E87B53" w:rsidP="00D43B83">
      <w:pPr>
        <w:pStyle w:val="a3"/>
        <w:numPr>
          <w:ilvl w:val="0"/>
          <w:numId w:val="19"/>
        </w:numPr>
        <w:spacing w:after="120" w:line="360" w:lineRule="auto"/>
        <w:rPr>
          <w:lang w:val="en-GB"/>
        </w:rPr>
      </w:pPr>
      <w:r w:rsidRPr="7A7A869F">
        <w:rPr>
          <w:lang w:val="en-GB"/>
        </w:rPr>
        <w:t>Ukraine picked up on this response asking for the following question to be put to the European Union (Ukraine’s Question No. 1</w:t>
      </w:r>
      <w:r w:rsidR="007E2E60" w:rsidRPr="7A7A869F">
        <w:rPr>
          <w:lang w:val="en-GB"/>
        </w:rPr>
        <w:t>0</w:t>
      </w:r>
      <w:r w:rsidRPr="7A7A869F">
        <w:rPr>
          <w:lang w:val="en-GB"/>
        </w:rPr>
        <w:t xml:space="preserve"> to the European Union):</w:t>
      </w:r>
    </w:p>
    <w:p w14:paraId="57353888" w14:textId="0B43B1B0" w:rsidR="007E2E60" w:rsidRPr="003F63A1" w:rsidRDefault="007E2E60" w:rsidP="0055296E">
      <w:pPr>
        <w:spacing w:after="120" w:line="360" w:lineRule="auto"/>
        <w:ind w:left="708" w:right="567"/>
        <w:jc w:val="both"/>
        <w:rPr>
          <w:sz w:val="26"/>
          <w:szCs w:val="26"/>
          <w:lang w:val="en-GB"/>
        </w:rPr>
      </w:pPr>
      <w:r w:rsidRPr="003F63A1">
        <w:rPr>
          <w:sz w:val="26"/>
          <w:szCs w:val="26"/>
          <w:lang w:val="en-GB"/>
        </w:rPr>
        <w:t>“In regard to paragraph 22 of Responses by the European Union to the List of Questions (question No. 19), how do the European Union customs authorities verify the imports of “unprocessed timber” declared on Ukraine’s border as “fuel wood”? Do they simply carry out customs clearance on papers? From the statement made in paragraph 22, it seems that such verification would occur in rare cases. Are the European Union customs authorities aware that Ukrainian unprocessed timber can be imported under the false declarations? If so, has the European Union introduced any special border control measures to combat the illegal imports of unprocessed timber from Ukraine?”</w:t>
      </w:r>
    </w:p>
    <w:p w14:paraId="585CC100" w14:textId="4A5BB4C1" w:rsidR="00555C43" w:rsidRPr="003F63A1" w:rsidRDefault="00FC58E8" w:rsidP="00254875">
      <w:pPr>
        <w:pStyle w:val="a3"/>
        <w:numPr>
          <w:ilvl w:val="0"/>
          <w:numId w:val="19"/>
        </w:numPr>
        <w:spacing w:after="120" w:line="360" w:lineRule="auto"/>
        <w:rPr>
          <w:lang w:val="en-GB"/>
        </w:rPr>
      </w:pPr>
      <w:r w:rsidRPr="7A7A869F">
        <w:rPr>
          <w:lang w:val="en-GB"/>
        </w:rPr>
        <w:t>At the outset, the European Union responded that it was “aware of the phenomenon of potential false customs declarations on the Ukrainian side and the issue has been part of exchanges”.</w:t>
      </w:r>
      <w:r w:rsidRPr="7A7A869F">
        <w:rPr>
          <w:rStyle w:val="af6"/>
          <w:lang w:val="en-GB"/>
        </w:rPr>
        <w:footnoteReference w:id="31"/>
      </w:r>
      <w:r w:rsidRPr="7A7A869F">
        <w:rPr>
          <w:lang w:val="en-GB"/>
        </w:rPr>
        <w:t xml:space="preserve"> From the practical point of view, </w:t>
      </w:r>
      <w:r w:rsidR="00555C43" w:rsidRPr="7A7A869F">
        <w:rPr>
          <w:lang w:val="en-GB"/>
        </w:rPr>
        <w:t xml:space="preserve">when a country is aware </w:t>
      </w:r>
      <w:r w:rsidR="008B680A" w:rsidRPr="7A7A869F">
        <w:rPr>
          <w:lang w:val="en-GB"/>
        </w:rPr>
        <w:t xml:space="preserve">of a </w:t>
      </w:r>
      <w:r w:rsidR="00555C43" w:rsidRPr="7A7A869F">
        <w:rPr>
          <w:lang w:val="en-GB"/>
        </w:rPr>
        <w:t>certain illegal scheme on its border</w:t>
      </w:r>
      <w:r w:rsidR="004A2A5B" w:rsidRPr="7A7A869F">
        <w:rPr>
          <w:lang w:val="en-GB"/>
        </w:rPr>
        <w:t xml:space="preserve">, it introduces additional control measures to prevent any </w:t>
      </w:r>
      <w:r w:rsidRPr="7A7A869F">
        <w:rPr>
          <w:lang w:val="en-GB"/>
        </w:rPr>
        <w:t>violation</w:t>
      </w:r>
      <w:r w:rsidR="00555C43" w:rsidRPr="7A7A869F">
        <w:rPr>
          <w:lang w:val="en-GB"/>
        </w:rPr>
        <w:t xml:space="preserve">s of </w:t>
      </w:r>
      <w:r w:rsidR="004A2A5B" w:rsidRPr="7A7A869F">
        <w:rPr>
          <w:lang w:val="en-GB"/>
        </w:rPr>
        <w:t xml:space="preserve">its </w:t>
      </w:r>
      <w:r w:rsidR="00555C43" w:rsidRPr="7A7A869F">
        <w:rPr>
          <w:lang w:val="en-GB"/>
        </w:rPr>
        <w:t xml:space="preserve">customs rules </w:t>
      </w:r>
      <w:r w:rsidR="004A2A5B" w:rsidRPr="7A7A869F">
        <w:rPr>
          <w:lang w:val="en-GB"/>
        </w:rPr>
        <w:t xml:space="preserve">(e.g. </w:t>
      </w:r>
      <w:r w:rsidR="00D67D16" w:rsidRPr="7A7A869F">
        <w:rPr>
          <w:lang w:val="en-GB"/>
        </w:rPr>
        <w:t xml:space="preserve">introduces additional laboratory </w:t>
      </w:r>
      <w:r w:rsidR="00CA1537" w:rsidRPr="7A7A869F">
        <w:rPr>
          <w:lang w:val="en-GB"/>
        </w:rPr>
        <w:t xml:space="preserve">analysis of goods, which are subject to anti-dumping duties, to </w:t>
      </w:r>
      <w:r w:rsidR="004A2A5B" w:rsidRPr="7A7A869F">
        <w:rPr>
          <w:lang w:val="en-GB"/>
        </w:rPr>
        <w:t xml:space="preserve">collect </w:t>
      </w:r>
      <w:r w:rsidR="00CA1537" w:rsidRPr="7A7A869F">
        <w:rPr>
          <w:lang w:val="en-GB"/>
        </w:rPr>
        <w:t xml:space="preserve">them </w:t>
      </w:r>
      <w:r w:rsidR="004A2A5B" w:rsidRPr="7A7A869F">
        <w:rPr>
          <w:lang w:val="en-GB"/>
        </w:rPr>
        <w:t xml:space="preserve">when </w:t>
      </w:r>
      <w:r w:rsidR="00CA1537" w:rsidRPr="7A7A869F">
        <w:rPr>
          <w:lang w:val="en-GB"/>
        </w:rPr>
        <w:lastRenderedPageBreak/>
        <w:t xml:space="preserve">such </w:t>
      </w:r>
      <w:r w:rsidR="004A2A5B" w:rsidRPr="7A7A869F">
        <w:rPr>
          <w:lang w:val="en-GB"/>
        </w:rPr>
        <w:t>goods</w:t>
      </w:r>
      <w:r w:rsidR="00CA1537" w:rsidRPr="7A7A869F">
        <w:rPr>
          <w:lang w:val="en-GB"/>
        </w:rPr>
        <w:t xml:space="preserve"> </w:t>
      </w:r>
      <w:r w:rsidR="00D67D16" w:rsidRPr="7A7A869F">
        <w:rPr>
          <w:lang w:val="en-GB"/>
        </w:rPr>
        <w:t xml:space="preserve">can be </w:t>
      </w:r>
      <w:r w:rsidR="00CA1537" w:rsidRPr="7A7A869F">
        <w:rPr>
          <w:lang w:val="en-GB"/>
        </w:rPr>
        <w:t xml:space="preserve">falsely </w:t>
      </w:r>
      <w:r w:rsidR="00D67D16" w:rsidRPr="7A7A869F">
        <w:rPr>
          <w:lang w:val="en-GB"/>
        </w:rPr>
        <w:t xml:space="preserve">declared to avoid paying extra duty) </w:t>
      </w:r>
      <w:r w:rsidR="004A2A5B" w:rsidRPr="7A7A869F">
        <w:rPr>
          <w:lang w:val="en-GB"/>
        </w:rPr>
        <w:t xml:space="preserve">and protect </w:t>
      </w:r>
      <w:r w:rsidR="00D67D16" w:rsidRPr="7A7A869F">
        <w:rPr>
          <w:lang w:val="en-GB"/>
        </w:rPr>
        <w:t>its internal market from goods</w:t>
      </w:r>
      <w:r w:rsidR="00CA1537" w:rsidRPr="7A7A869F">
        <w:rPr>
          <w:lang w:val="en-GB"/>
        </w:rPr>
        <w:t xml:space="preserve"> that have a sort of illegal trail</w:t>
      </w:r>
      <w:r w:rsidR="00D67D16" w:rsidRPr="7A7A869F">
        <w:rPr>
          <w:lang w:val="en-GB"/>
        </w:rPr>
        <w:t>.</w:t>
      </w:r>
    </w:p>
    <w:p w14:paraId="52FAF185" w14:textId="730E1CAF" w:rsidR="00CA1537" w:rsidRPr="003F63A1" w:rsidRDefault="00CA1537" w:rsidP="00254875">
      <w:pPr>
        <w:pStyle w:val="a3"/>
        <w:numPr>
          <w:ilvl w:val="0"/>
          <w:numId w:val="19"/>
        </w:numPr>
        <w:spacing w:after="120" w:line="360" w:lineRule="auto"/>
        <w:rPr>
          <w:lang w:val="en-GB"/>
        </w:rPr>
      </w:pPr>
      <w:r w:rsidRPr="7A7A869F">
        <w:rPr>
          <w:lang w:val="en-GB"/>
        </w:rPr>
        <w:t xml:space="preserve">However, the European Union </w:t>
      </w:r>
      <w:r w:rsidR="0080752F" w:rsidRPr="7A7A869F">
        <w:rPr>
          <w:lang w:val="en-GB"/>
        </w:rPr>
        <w:t>refrained from answering to Ukraine’s question “Do [the European Union customs authorities] simply carry out customs clearance on papers?” by stating that “[i]t is obviously difficult for customs or forest-related competent authorities of EU Member States to solve apparent policy and/or competence struggles among different Ukrainian authorities and to intervene in such case in their own right on relevant customs declarations unless the case was evident”.</w:t>
      </w:r>
      <w:r w:rsidR="0026328C" w:rsidRPr="7A7A869F">
        <w:rPr>
          <w:rStyle w:val="af6"/>
          <w:lang w:val="en-GB"/>
        </w:rPr>
        <w:footnoteReference w:id="32"/>
      </w:r>
    </w:p>
    <w:p w14:paraId="7F6F6DDE" w14:textId="668AB6C6" w:rsidR="0026328C" w:rsidRPr="003F63A1" w:rsidRDefault="0026328C" w:rsidP="00254875">
      <w:pPr>
        <w:pStyle w:val="a3"/>
        <w:numPr>
          <w:ilvl w:val="0"/>
          <w:numId w:val="19"/>
        </w:numPr>
        <w:spacing w:after="120" w:line="360" w:lineRule="auto"/>
        <w:rPr>
          <w:lang w:val="en-GB"/>
        </w:rPr>
      </w:pPr>
      <w:r w:rsidRPr="7A7A869F">
        <w:rPr>
          <w:lang w:val="en-GB"/>
        </w:rPr>
        <w:t xml:space="preserve">Here, it is not the case of how </w:t>
      </w:r>
      <w:r w:rsidR="00783A72" w:rsidRPr="7A7A869F">
        <w:rPr>
          <w:lang w:val="en-GB"/>
        </w:rPr>
        <w:t xml:space="preserve">Ukrainian timber exporters </w:t>
      </w:r>
      <w:r w:rsidRPr="7A7A869F">
        <w:rPr>
          <w:lang w:val="en-GB"/>
        </w:rPr>
        <w:t xml:space="preserve">evade </w:t>
      </w:r>
      <w:r w:rsidR="00E4105C" w:rsidRPr="7A7A869F">
        <w:rPr>
          <w:lang w:val="en-GB"/>
        </w:rPr>
        <w:t xml:space="preserve">the </w:t>
      </w:r>
      <w:r w:rsidRPr="7A7A869F">
        <w:rPr>
          <w:lang w:val="en-GB"/>
        </w:rPr>
        <w:t xml:space="preserve">Ukrainian law restricting them to export </w:t>
      </w:r>
      <w:r w:rsidR="7A7A869F" w:rsidRPr="7A7A869F">
        <w:rPr>
          <w:lang w:val="en-GB"/>
        </w:rPr>
        <w:t>wood in the rough</w:t>
      </w:r>
      <w:r w:rsidR="00E4105C" w:rsidRPr="7A7A869F">
        <w:rPr>
          <w:lang w:val="en-GB"/>
        </w:rPr>
        <w:t xml:space="preserve"> to the European Union</w:t>
      </w:r>
      <w:r w:rsidR="00783A72" w:rsidRPr="7A7A869F">
        <w:rPr>
          <w:lang w:val="en-GB"/>
        </w:rPr>
        <w:t xml:space="preserve">. Rather, the point is what the European Union has done to prevent </w:t>
      </w:r>
      <w:r w:rsidR="001C5922" w:rsidRPr="7A7A869F">
        <w:rPr>
          <w:lang w:val="en-GB"/>
        </w:rPr>
        <w:t xml:space="preserve">at its border </w:t>
      </w:r>
      <w:r w:rsidR="009D7C44" w:rsidRPr="7A7A869F">
        <w:rPr>
          <w:lang w:val="en-GB"/>
        </w:rPr>
        <w:t xml:space="preserve">the </w:t>
      </w:r>
      <w:r w:rsidR="00783A72" w:rsidRPr="7A7A869F">
        <w:rPr>
          <w:lang w:val="en-GB"/>
        </w:rPr>
        <w:t>illicit export</w:t>
      </w:r>
      <w:r w:rsidR="001C5922" w:rsidRPr="7A7A869F">
        <w:rPr>
          <w:lang w:val="en-GB"/>
        </w:rPr>
        <w:t xml:space="preserve"> of unprocessed timber from Ukraine, notwithstanding that these goods are not prohibited from importing to the European Union.</w:t>
      </w:r>
    </w:p>
    <w:p w14:paraId="062C59FD" w14:textId="0D10525D" w:rsidR="004A5A08" w:rsidRPr="003F63A1" w:rsidRDefault="004A5A08" w:rsidP="0015502F">
      <w:pPr>
        <w:pStyle w:val="2"/>
        <w:rPr>
          <w:rFonts w:cs="Times New Roman"/>
          <w:lang w:val="en-GB"/>
        </w:rPr>
      </w:pPr>
      <w:bookmarkStart w:id="50" w:name="_Toc52886582"/>
      <w:bookmarkStart w:id="51" w:name="_Toc52896887"/>
      <w:r w:rsidRPr="003F63A1">
        <w:rPr>
          <w:rFonts w:cs="Times New Roman"/>
          <w:lang w:val="en-GB"/>
        </w:rPr>
        <w:t>Question 9</w:t>
      </w:r>
      <w:r w:rsidR="007816B9" w:rsidRPr="003F63A1">
        <w:rPr>
          <w:rFonts w:cs="Times New Roman"/>
          <w:lang w:val="en-GB"/>
        </w:rPr>
        <w:t xml:space="preserve"> – </w:t>
      </w:r>
      <w:r w:rsidR="26497122" w:rsidRPr="003F63A1">
        <w:rPr>
          <w:rFonts w:cs="Times New Roman"/>
          <w:lang w:val="en-GB"/>
        </w:rPr>
        <w:t>Regarding</w:t>
      </w:r>
      <w:r w:rsidR="007816B9" w:rsidRPr="003F63A1">
        <w:rPr>
          <w:rFonts w:cs="Times New Roman"/>
          <w:lang w:val="en-GB"/>
        </w:rPr>
        <w:t xml:space="preserve"> the Ukrainian monitoring procedure for a consumption plan</w:t>
      </w:r>
      <w:bookmarkEnd w:id="50"/>
      <w:bookmarkEnd w:id="51"/>
    </w:p>
    <w:p w14:paraId="6E84E8DE" w14:textId="0E8EA6AB" w:rsidR="004A5A08" w:rsidRPr="003F63A1" w:rsidRDefault="004A5A08" w:rsidP="004A5A08">
      <w:pPr>
        <w:spacing w:after="120"/>
        <w:jc w:val="both"/>
        <w:rPr>
          <w:sz w:val="26"/>
          <w:szCs w:val="26"/>
          <w:lang w:val="en-GB"/>
        </w:rPr>
      </w:pPr>
      <w:r w:rsidRPr="003F63A1">
        <w:rPr>
          <w:rStyle w:val="st"/>
          <w:b/>
          <w:bCs/>
          <w:sz w:val="26"/>
          <w:szCs w:val="26"/>
          <w:lang w:val="en-GB"/>
        </w:rPr>
        <w:t>MR Christian HÄBERLI</w:t>
      </w:r>
      <w:r w:rsidRPr="003F63A1">
        <w:rPr>
          <w:rStyle w:val="st"/>
          <w:sz w:val="26"/>
          <w:szCs w:val="26"/>
          <w:lang w:val="en-GB"/>
        </w:rPr>
        <w:t xml:space="preserve">: </w:t>
      </w:r>
      <w:r w:rsidRPr="003F63A1">
        <w:rPr>
          <w:sz w:val="26"/>
          <w:szCs w:val="26"/>
          <w:lang w:val="en-GB"/>
        </w:rPr>
        <w:t xml:space="preserve">“The second question is the new monitoring procedure. I am not sure whether in your answers paragraph 234 of the </w:t>
      </w:r>
      <w:r w:rsidR="00A33AF0">
        <w:rPr>
          <w:sz w:val="26"/>
          <w:szCs w:val="26"/>
          <w:lang w:val="en-GB"/>
        </w:rPr>
        <w:t>[</w:t>
      </w:r>
      <w:r w:rsidR="003F63A1" w:rsidRPr="0055296E">
        <w:rPr>
          <w:sz w:val="26"/>
          <w:szCs w:val="26"/>
          <w:lang w:val="en-GB"/>
        </w:rPr>
        <w:t>European Union</w:t>
      </w:r>
      <w:r w:rsidR="00A33AF0">
        <w:rPr>
          <w:sz w:val="26"/>
          <w:szCs w:val="26"/>
          <w:lang w:val="en-GB"/>
        </w:rPr>
        <w:t>]</w:t>
      </w:r>
      <w:r w:rsidRPr="003F63A1">
        <w:rPr>
          <w:sz w:val="26"/>
          <w:szCs w:val="26"/>
          <w:lang w:val="en-GB"/>
        </w:rPr>
        <w:t xml:space="preserve"> you refer to the same e-monitoring, which the Ukrainian delegation has extensively commented this morning with the participant numbers, with fines, with criminal procedures and so on so forth. In your answer </w:t>
      </w:r>
      <w:r w:rsidR="009D7C44" w:rsidRPr="003F63A1">
        <w:rPr>
          <w:sz w:val="26"/>
          <w:szCs w:val="26"/>
          <w:lang w:val="en-GB"/>
        </w:rPr>
        <w:t xml:space="preserve">at </w:t>
      </w:r>
      <w:r w:rsidRPr="003F63A1">
        <w:rPr>
          <w:sz w:val="26"/>
          <w:szCs w:val="26"/>
          <w:lang w:val="en-GB"/>
        </w:rPr>
        <w:t>paragraph 234</w:t>
      </w:r>
      <w:r w:rsidR="009D7C44" w:rsidRPr="003F63A1">
        <w:rPr>
          <w:sz w:val="26"/>
          <w:szCs w:val="26"/>
          <w:lang w:val="en-GB"/>
        </w:rPr>
        <w:t>,</w:t>
      </w:r>
      <w:r w:rsidRPr="003F63A1">
        <w:rPr>
          <w:sz w:val="26"/>
          <w:szCs w:val="26"/>
          <w:lang w:val="en-GB"/>
        </w:rPr>
        <w:t xml:space="preserve"> you said</w:t>
      </w:r>
      <w:r w:rsidR="00384D74" w:rsidRPr="003F63A1">
        <w:rPr>
          <w:sz w:val="26"/>
          <w:szCs w:val="26"/>
          <w:lang w:val="en-GB"/>
        </w:rPr>
        <w:t>,</w:t>
      </w:r>
      <w:r w:rsidRPr="003F63A1">
        <w:rPr>
          <w:sz w:val="26"/>
          <w:szCs w:val="26"/>
          <w:lang w:val="en-GB"/>
        </w:rPr>
        <w:t xml:space="preserve"> those results of the monitoring procedure would be published by 1 April 2020. And now if I can hear that if the Ukrainian delegation has commented that extensively this morning, if we talk of the same monitoring procedure, then the question is redundant, but if this is a different procedure, then I would be happy for clarifications. </w:t>
      </w:r>
    </w:p>
    <w:p w14:paraId="01E7519E" w14:textId="681A9BA7" w:rsidR="004A5A08" w:rsidRPr="003F63A1" w:rsidRDefault="004A5A08" w:rsidP="004A5A08">
      <w:pPr>
        <w:spacing w:after="120"/>
        <w:jc w:val="both"/>
        <w:rPr>
          <w:sz w:val="26"/>
          <w:szCs w:val="26"/>
          <w:lang w:val="en-GB"/>
        </w:rPr>
      </w:pPr>
      <w:r w:rsidRPr="003F63A1">
        <w:rPr>
          <w:sz w:val="26"/>
          <w:szCs w:val="26"/>
          <w:lang w:val="en-GB"/>
        </w:rPr>
        <w:t>[…]</w:t>
      </w:r>
    </w:p>
    <w:p w14:paraId="2CAC9FA4" w14:textId="119CB2E9" w:rsidR="004A5A08" w:rsidRPr="003F63A1" w:rsidRDefault="004A5A08" w:rsidP="004A5A08">
      <w:pPr>
        <w:spacing w:after="120"/>
        <w:jc w:val="both"/>
        <w:rPr>
          <w:sz w:val="26"/>
          <w:szCs w:val="26"/>
          <w:lang w:val="en-GB"/>
        </w:rPr>
      </w:pPr>
      <w:r w:rsidRPr="003F63A1">
        <w:rPr>
          <w:sz w:val="26"/>
          <w:szCs w:val="26"/>
          <w:lang w:val="en-GB"/>
        </w:rPr>
        <w:t xml:space="preserve">Then I return to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Is that monitoring procedure publish any results by 1 April 2020?</w:t>
      </w:r>
    </w:p>
    <w:p w14:paraId="222CA995" w14:textId="6F4053A8" w:rsidR="004A5A08" w:rsidRPr="003F63A1" w:rsidRDefault="004A5A08" w:rsidP="004A5A08">
      <w:pPr>
        <w:spacing w:after="120"/>
        <w:jc w:val="both"/>
        <w:rPr>
          <w:sz w:val="26"/>
          <w:szCs w:val="26"/>
          <w:lang w:val="en-GB"/>
        </w:rPr>
      </w:pPr>
      <w:r w:rsidRPr="003F63A1">
        <w:rPr>
          <w:sz w:val="26"/>
          <w:szCs w:val="26"/>
          <w:lang w:val="en-GB"/>
        </w:rPr>
        <w:t>[…]</w:t>
      </w:r>
    </w:p>
    <w:p w14:paraId="7BE6820F" w14:textId="363F7E2D" w:rsidR="004A5A08" w:rsidRPr="003F63A1" w:rsidRDefault="004A5A08" w:rsidP="004A5A08">
      <w:pPr>
        <w:spacing w:after="120"/>
        <w:jc w:val="both"/>
        <w:rPr>
          <w:sz w:val="26"/>
          <w:szCs w:val="26"/>
          <w:lang w:val="en-GB"/>
        </w:rPr>
      </w:pPr>
      <w:r w:rsidRPr="003F63A1">
        <w:rPr>
          <w:sz w:val="26"/>
          <w:szCs w:val="26"/>
          <w:lang w:val="en-GB"/>
        </w:rPr>
        <w:t>The monitoring procedure for a consumption plan is that only available for the government members, employees, offices or is it published on the website which everybody else could look into?”</w:t>
      </w:r>
    </w:p>
    <w:p w14:paraId="399BFC39" w14:textId="626D6F0F" w:rsidR="003D0472" w:rsidRPr="003F63A1" w:rsidRDefault="00715163" w:rsidP="00A5587C">
      <w:pPr>
        <w:pStyle w:val="a3"/>
        <w:numPr>
          <w:ilvl w:val="0"/>
          <w:numId w:val="19"/>
        </w:numPr>
        <w:spacing w:after="120" w:line="360" w:lineRule="auto"/>
        <w:ind w:left="357" w:hanging="357"/>
        <w:rPr>
          <w:lang w:val="en-GB"/>
        </w:rPr>
      </w:pPr>
      <w:bookmarkStart w:id="52" w:name="_Hlk52351786"/>
      <w:r w:rsidRPr="7A7A869F">
        <w:rPr>
          <w:lang w:val="en-GB"/>
        </w:rPr>
        <w:lastRenderedPageBreak/>
        <w:t xml:space="preserve">Ukraine </w:t>
      </w:r>
      <w:r w:rsidR="00D30DB7" w:rsidRPr="7A7A869F">
        <w:rPr>
          <w:lang w:val="en-GB"/>
        </w:rPr>
        <w:t xml:space="preserve">notes that this set of questions was covered, albeit partially, </w:t>
      </w:r>
      <w:r w:rsidR="004058EF" w:rsidRPr="7A7A869F">
        <w:rPr>
          <w:lang w:val="en-GB"/>
        </w:rPr>
        <w:t>by the Arbitration Panel’s suggested issue</w:t>
      </w:r>
      <w:r w:rsidR="002C036B" w:rsidRPr="7A7A869F">
        <w:rPr>
          <w:lang w:val="en-GB"/>
        </w:rPr>
        <w:t>s</w:t>
      </w:r>
      <w:r w:rsidR="004058EF" w:rsidRPr="7A7A869F">
        <w:rPr>
          <w:lang w:val="en-GB"/>
        </w:rPr>
        <w:t xml:space="preserve"> No</w:t>
      </w:r>
      <w:r w:rsidR="00847B85" w:rsidRPr="7A7A869F">
        <w:rPr>
          <w:lang w:val="en-GB"/>
        </w:rPr>
        <w:t>s</w:t>
      </w:r>
      <w:r w:rsidR="004058EF" w:rsidRPr="7A7A869F">
        <w:rPr>
          <w:lang w:val="en-GB"/>
        </w:rPr>
        <w:t xml:space="preserve">. </w:t>
      </w:r>
      <w:r w:rsidR="002C036B" w:rsidRPr="7A7A869F">
        <w:rPr>
          <w:lang w:val="en-GB"/>
        </w:rPr>
        <w:t>2</w:t>
      </w:r>
      <w:r w:rsidR="004058EF" w:rsidRPr="7A7A869F">
        <w:rPr>
          <w:lang w:val="en-GB"/>
        </w:rPr>
        <w:t>3</w:t>
      </w:r>
      <w:r w:rsidR="002C036B" w:rsidRPr="7A7A869F">
        <w:rPr>
          <w:lang w:val="en-GB"/>
        </w:rPr>
        <w:t xml:space="preserve">, 36 and 37 </w:t>
      </w:r>
      <w:r w:rsidR="004058EF" w:rsidRPr="7A7A869F">
        <w:rPr>
          <w:lang w:val="en-GB"/>
        </w:rPr>
        <w:t>in its communication to the Parties of 16 June 2020.</w:t>
      </w:r>
      <w:r w:rsidR="00D30DB7" w:rsidRPr="7A7A869F">
        <w:rPr>
          <w:lang w:val="en-GB"/>
        </w:rPr>
        <w:t xml:space="preserve"> In this regard, Ukraine </w:t>
      </w:r>
      <w:r w:rsidR="006762E7" w:rsidRPr="7A7A869F">
        <w:rPr>
          <w:lang w:val="en-GB"/>
        </w:rPr>
        <w:t xml:space="preserve">reiterates its </w:t>
      </w:r>
      <w:r w:rsidR="00D30DB7" w:rsidRPr="7A7A869F">
        <w:rPr>
          <w:lang w:val="en-GB"/>
        </w:rPr>
        <w:t xml:space="preserve">answer </w:t>
      </w:r>
      <w:r w:rsidR="006762E7" w:rsidRPr="7A7A869F">
        <w:rPr>
          <w:lang w:val="en-GB"/>
        </w:rPr>
        <w:t xml:space="preserve">given at the </w:t>
      </w:r>
      <w:r w:rsidR="00D30DB7" w:rsidRPr="7A7A869F">
        <w:rPr>
          <w:lang w:val="en-GB"/>
        </w:rPr>
        <w:t>hearings</w:t>
      </w:r>
      <w:r w:rsidR="00EE5ABA" w:rsidRPr="7A7A869F">
        <w:rPr>
          <w:lang w:val="en-GB"/>
        </w:rPr>
        <w:t xml:space="preserve"> </w:t>
      </w:r>
      <w:r w:rsidR="00D30DB7" w:rsidRPr="7A7A869F">
        <w:rPr>
          <w:lang w:val="en-GB"/>
        </w:rPr>
        <w:t xml:space="preserve">and </w:t>
      </w:r>
      <w:r w:rsidR="00EE5ABA" w:rsidRPr="7A7A869F">
        <w:rPr>
          <w:lang w:val="en-GB"/>
        </w:rPr>
        <w:t>adds the following.</w:t>
      </w:r>
      <w:bookmarkEnd w:id="52"/>
    </w:p>
    <w:p w14:paraId="01FB53BC" w14:textId="43883E61" w:rsidR="002C036B" w:rsidRPr="003F63A1" w:rsidRDefault="002C036B" w:rsidP="002C036B">
      <w:pPr>
        <w:pStyle w:val="a3"/>
        <w:numPr>
          <w:ilvl w:val="0"/>
          <w:numId w:val="19"/>
        </w:numPr>
        <w:spacing w:after="120" w:line="360" w:lineRule="auto"/>
        <w:ind w:left="357" w:hanging="357"/>
        <w:rPr>
          <w:lang w:val="en-GB"/>
        </w:rPr>
      </w:pPr>
      <w:r w:rsidRPr="7A7A869F">
        <w:rPr>
          <w:lang w:val="en-GB"/>
        </w:rPr>
        <w:t>To start with, by the adoption of Law of Ukraine “On Amendments to Certain Legislative Acts of Ukraine on the Preservation of Ukrainian Forests and preventing the illegal export of rough timber” No. 2531-VIII in 2018,</w:t>
      </w:r>
      <w:r w:rsidRPr="7A7A869F">
        <w:rPr>
          <w:rStyle w:val="af6"/>
          <w:lang w:val="en-GB"/>
        </w:rPr>
        <w:footnoteReference w:id="33"/>
      </w:r>
      <w:r w:rsidRPr="7A7A869F">
        <w:rPr>
          <w:lang w:val="en-GB"/>
        </w:rPr>
        <w:t xml:space="preserve"> which came into effect on 1 January 2019,</w:t>
      </w:r>
      <w:r w:rsidRPr="7A7A869F">
        <w:rPr>
          <w:vertAlign w:val="superscript"/>
          <w:lang w:val="en-GB"/>
        </w:rPr>
        <w:footnoteReference w:id="34"/>
      </w:r>
      <w:r w:rsidRPr="7A7A869F">
        <w:rPr>
          <w:lang w:val="en-GB"/>
        </w:rPr>
        <w:t xml:space="preserve"> Ukraine has set the limit on the domestic consumption of unprocessed domestic timber at the level of 25 million cubic meters per year.</w:t>
      </w:r>
      <w:r w:rsidRPr="7A7A869F">
        <w:rPr>
          <w:vertAlign w:val="superscript"/>
          <w:lang w:val="en-GB"/>
        </w:rPr>
        <w:footnoteReference w:id="35"/>
      </w:r>
      <w:r w:rsidRPr="7A7A869F">
        <w:rPr>
          <w:lang w:val="en-GB"/>
        </w:rPr>
        <w:t xml:space="preserve"> According to Article 4 of Law No. 2860-IV (as amended by Law No. 2531-VIII), any unused balance of the 25-million cubic meter consumption cap in a previous year cannot be used in next year, i.e. the 25-million cubic meter consumption cap cannot be higher.</w:t>
      </w:r>
      <w:r w:rsidR="00A16D83" w:rsidRPr="7A7A869F">
        <w:rPr>
          <w:vertAlign w:val="superscript"/>
          <w:lang w:val="en-GB"/>
        </w:rPr>
        <w:t xml:space="preserve"> </w:t>
      </w:r>
      <w:r w:rsidR="00A16D83" w:rsidRPr="7A7A869F">
        <w:rPr>
          <w:vertAlign w:val="superscript"/>
          <w:lang w:val="en-GB"/>
        </w:rPr>
        <w:footnoteReference w:id="36"/>
      </w:r>
    </w:p>
    <w:p w14:paraId="21C8110A" w14:textId="628A119E" w:rsidR="002C036B" w:rsidRPr="003F63A1" w:rsidRDefault="00C40C42" w:rsidP="002C036B">
      <w:pPr>
        <w:pStyle w:val="a3"/>
        <w:numPr>
          <w:ilvl w:val="0"/>
          <w:numId w:val="19"/>
        </w:numPr>
        <w:spacing w:after="120" w:line="360" w:lineRule="auto"/>
        <w:ind w:left="357" w:hanging="357"/>
        <w:rPr>
          <w:lang w:val="en-GB"/>
        </w:rPr>
      </w:pPr>
      <w:r w:rsidRPr="7A7A869F">
        <w:rPr>
          <w:lang w:val="en-GB"/>
        </w:rPr>
        <w:t>T</w:t>
      </w:r>
      <w:r w:rsidR="002C036B" w:rsidRPr="7A7A869F">
        <w:rPr>
          <w:lang w:val="en-GB"/>
        </w:rPr>
        <w:t>he introduction of the mandatory electronic timber accounting system at the end of 2019 has not introduced the system in principle.</w:t>
      </w:r>
      <w:r w:rsidR="00A16D83" w:rsidRPr="7A7A869F">
        <w:rPr>
          <w:vertAlign w:val="superscript"/>
          <w:lang w:val="en-GB"/>
        </w:rPr>
        <w:footnoteReference w:id="37"/>
      </w:r>
      <w:r w:rsidR="002C036B" w:rsidRPr="7A7A869F">
        <w:rPr>
          <w:lang w:val="en-GB"/>
        </w:rPr>
        <w:t xml:space="preserve"> The work on creating a legal framework for introducing the electronic timber accounting system begun back in 2009 when </w:t>
      </w:r>
      <w:r w:rsidR="002C036B" w:rsidRPr="7A7A869F">
        <w:rPr>
          <w:i/>
          <w:lang w:val="en-GB"/>
        </w:rPr>
        <w:t xml:space="preserve">The Concept of Creation of Uniform State Electronic Timber Accounting System </w:t>
      </w:r>
      <w:r w:rsidR="002C036B" w:rsidRPr="7A7A869F">
        <w:rPr>
          <w:lang w:val="en-GB"/>
        </w:rPr>
        <w:t>was approved by Order of the Cabinet of Ministers of Ukraine No. 1090-r, dated 16 September 2009. According to the concept, it was adopted</w:t>
      </w:r>
      <w:r w:rsidR="00EE5ABA" w:rsidRPr="7A7A869F">
        <w:rPr>
          <w:lang w:val="en-GB"/>
        </w:rPr>
        <w:t>, inter alia,</w:t>
      </w:r>
      <w:r w:rsidR="002C036B" w:rsidRPr="7A7A869F">
        <w:rPr>
          <w:lang w:val="en-GB"/>
        </w:rPr>
        <w:t xml:space="preserve"> to combat illegal logging and black market of timber.</w:t>
      </w:r>
    </w:p>
    <w:p w14:paraId="134279E4" w14:textId="4C825DF6" w:rsidR="002C036B" w:rsidRPr="003F63A1" w:rsidRDefault="002C036B" w:rsidP="00AE7710">
      <w:pPr>
        <w:pStyle w:val="a3"/>
        <w:numPr>
          <w:ilvl w:val="0"/>
          <w:numId w:val="19"/>
        </w:numPr>
        <w:spacing w:after="120" w:line="360" w:lineRule="auto"/>
        <w:rPr>
          <w:lang w:val="en-GB"/>
        </w:rPr>
      </w:pPr>
      <w:bookmarkStart w:id="53" w:name="_Ref52299998"/>
      <w:r w:rsidRPr="7A7A869F">
        <w:rPr>
          <w:lang w:val="en-GB"/>
        </w:rPr>
        <w:t>Since 2009, Ukraine has made significant progress in the field of the electronic timber accounting system. As of 17 February 2020, the number of forest users connected to the system amounted to 503 out of total 805 forest users.</w:t>
      </w:r>
      <w:r w:rsidRPr="7A7A869F">
        <w:rPr>
          <w:vertAlign w:val="superscript"/>
          <w:lang w:val="en-GB"/>
        </w:rPr>
        <w:footnoteReference w:id="38"/>
      </w:r>
      <w:r w:rsidRPr="7A7A869F">
        <w:rPr>
          <w:lang w:val="en-GB"/>
        </w:rPr>
        <w:t xml:space="preserve"> As has been already submitted,</w:t>
      </w:r>
      <w:r w:rsidRPr="7A7A869F">
        <w:rPr>
          <w:vertAlign w:val="superscript"/>
          <w:lang w:val="en-GB"/>
        </w:rPr>
        <w:footnoteReference w:id="39"/>
      </w:r>
      <w:r w:rsidRPr="7A7A869F">
        <w:rPr>
          <w:lang w:val="en-GB"/>
        </w:rPr>
        <w:t xml:space="preserve"> the State Forest </w:t>
      </w:r>
      <w:r w:rsidR="00AE7710" w:rsidRPr="7A7A869F">
        <w:rPr>
          <w:lang w:val="en-GB"/>
        </w:rPr>
        <w:t xml:space="preserve">Resources </w:t>
      </w:r>
      <w:r w:rsidRPr="7A7A869F">
        <w:rPr>
          <w:lang w:val="en-GB"/>
        </w:rPr>
        <w:t xml:space="preserve">Agency of Ukraine through its </w:t>
      </w:r>
      <w:r w:rsidRPr="7A7A869F">
        <w:rPr>
          <w:lang w:val="en-GB"/>
        </w:rPr>
        <w:lastRenderedPageBreak/>
        <w:t>State Enterprise “Forestry innovative analytical centre” has launched the following e-projects to ensure the transparency of data on the usage of forest resources</w:t>
      </w:r>
      <w:r w:rsidR="00414775" w:rsidRPr="7A7A869F">
        <w:rPr>
          <w:lang w:val="en-GB"/>
        </w:rPr>
        <w:t xml:space="preserve"> for </w:t>
      </w:r>
      <w:r w:rsidR="006C385A" w:rsidRPr="7A7A869F">
        <w:rPr>
          <w:lang w:val="en-GB"/>
        </w:rPr>
        <w:t xml:space="preserve">the </w:t>
      </w:r>
      <w:r w:rsidR="00414775" w:rsidRPr="7A7A869F">
        <w:rPr>
          <w:lang w:val="en-GB"/>
        </w:rPr>
        <w:t>general public,</w:t>
      </w:r>
      <w:r w:rsidR="00464831" w:rsidRPr="7A7A869F">
        <w:rPr>
          <w:lang w:val="en-GB"/>
        </w:rPr>
        <w:t xml:space="preserve"> which is in the public domain, available at </w:t>
      </w:r>
      <w:hyperlink r:id="rId22" w:history="1">
        <w:r w:rsidR="003A0500" w:rsidRPr="7A7A869F">
          <w:rPr>
            <w:rStyle w:val="af2"/>
            <w:lang w:val="en-GB"/>
          </w:rPr>
          <w:t>https://www.ukrforest.com</w:t>
        </w:r>
      </w:hyperlink>
      <w:r w:rsidR="00464831" w:rsidRPr="7A7A869F">
        <w:rPr>
          <w:lang w:val="en-GB"/>
        </w:rPr>
        <w:t>,</w:t>
      </w:r>
      <w:r w:rsidR="00414775" w:rsidRPr="7A7A869F">
        <w:rPr>
          <w:lang w:val="en-GB"/>
        </w:rPr>
        <w:t xml:space="preserve"> in particular</w:t>
      </w:r>
      <w:r w:rsidRPr="7A7A869F">
        <w:rPr>
          <w:lang w:val="en-GB"/>
        </w:rPr>
        <w:t>:</w:t>
      </w:r>
      <w:bookmarkEnd w:id="53"/>
    </w:p>
    <w:p w14:paraId="784ACE5B" w14:textId="77777777" w:rsidR="002C036B" w:rsidRPr="003F63A1" w:rsidRDefault="002C036B" w:rsidP="002C036B">
      <w:pPr>
        <w:pStyle w:val="a3"/>
        <w:numPr>
          <w:ilvl w:val="1"/>
          <w:numId w:val="19"/>
        </w:numPr>
        <w:spacing w:after="120" w:line="360" w:lineRule="auto"/>
        <w:rPr>
          <w:lang w:val="en-GB"/>
        </w:rPr>
      </w:pPr>
      <w:r w:rsidRPr="7A7A869F">
        <w:rPr>
          <w:lang w:val="en-GB"/>
        </w:rPr>
        <w:t>the register of certificates of origin of timber and sawn wood;</w:t>
      </w:r>
    </w:p>
    <w:p w14:paraId="68DB718B" w14:textId="77777777" w:rsidR="002C036B" w:rsidRPr="003F63A1" w:rsidRDefault="002C036B" w:rsidP="002C036B">
      <w:pPr>
        <w:pStyle w:val="a3"/>
        <w:numPr>
          <w:ilvl w:val="1"/>
          <w:numId w:val="19"/>
        </w:numPr>
        <w:spacing w:after="120" w:line="360" w:lineRule="auto"/>
        <w:rPr>
          <w:lang w:val="en-GB"/>
        </w:rPr>
      </w:pPr>
      <w:r w:rsidRPr="7A7A869F">
        <w:rPr>
          <w:lang w:val="en-GB"/>
        </w:rPr>
        <w:t>the register of felling tickets;</w:t>
      </w:r>
    </w:p>
    <w:p w14:paraId="459FBE55" w14:textId="77777777" w:rsidR="002C036B" w:rsidRPr="003F63A1" w:rsidRDefault="002C036B" w:rsidP="002C036B">
      <w:pPr>
        <w:pStyle w:val="a3"/>
        <w:numPr>
          <w:ilvl w:val="1"/>
          <w:numId w:val="19"/>
        </w:numPr>
        <w:spacing w:after="120" w:line="360" w:lineRule="auto"/>
        <w:rPr>
          <w:lang w:val="en-GB"/>
        </w:rPr>
      </w:pPr>
      <w:r w:rsidRPr="7A7A869F">
        <w:rPr>
          <w:lang w:val="en-GB"/>
        </w:rPr>
        <w:t>the auction portal, where timber is traded;</w:t>
      </w:r>
    </w:p>
    <w:p w14:paraId="1C559EBE" w14:textId="77777777" w:rsidR="002C036B" w:rsidRPr="003F63A1" w:rsidRDefault="002C036B" w:rsidP="002C036B">
      <w:pPr>
        <w:pStyle w:val="a3"/>
        <w:numPr>
          <w:ilvl w:val="1"/>
          <w:numId w:val="19"/>
        </w:numPr>
        <w:spacing w:after="120" w:line="360" w:lineRule="auto"/>
        <w:rPr>
          <w:lang w:val="en-GB"/>
        </w:rPr>
      </w:pPr>
      <w:r w:rsidRPr="7A7A869F">
        <w:rPr>
          <w:lang w:val="en-GB"/>
        </w:rPr>
        <w:t>the uniform state electronic timber accounting system.</w:t>
      </w:r>
    </w:p>
    <w:p w14:paraId="1BB7AD07" w14:textId="2EEA030F" w:rsidR="002C036B" w:rsidRPr="003F63A1" w:rsidRDefault="002C036B" w:rsidP="00AE7710">
      <w:pPr>
        <w:pStyle w:val="a3"/>
        <w:numPr>
          <w:ilvl w:val="0"/>
          <w:numId w:val="19"/>
        </w:numPr>
        <w:spacing w:after="120" w:line="360" w:lineRule="auto"/>
        <w:rPr>
          <w:lang w:val="en-GB"/>
        </w:rPr>
      </w:pPr>
      <w:r w:rsidRPr="7A7A869F">
        <w:rPr>
          <w:lang w:val="en-GB"/>
        </w:rPr>
        <w:t xml:space="preserve">All these systems are interconnected </w:t>
      </w:r>
      <w:r w:rsidR="00414775" w:rsidRPr="7A7A869F">
        <w:rPr>
          <w:lang w:val="en-GB"/>
        </w:rPr>
        <w:t xml:space="preserve">and </w:t>
      </w:r>
      <w:r w:rsidRPr="7A7A869F">
        <w:rPr>
          <w:lang w:val="en-GB"/>
        </w:rPr>
        <w:t>enabl</w:t>
      </w:r>
      <w:r w:rsidR="00414775" w:rsidRPr="7A7A869F">
        <w:rPr>
          <w:lang w:val="en-GB"/>
        </w:rPr>
        <w:t xml:space="preserve">e </w:t>
      </w:r>
      <w:r w:rsidRPr="7A7A869F">
        <w:rPr>
          <w:lang w:val="en-GB"/>
        </w:rPr>
        <w:t xml:space="preserve">the State Forest </w:t>
      </w:r>
      <w:r w:rsidR="00AE7710" w:rsidRPr="7A7A869F">
        <w:rPr>
          <w:lang w:val="en-GB"/>
        </w:rPr>
        <w:t xml:space="preserve">Resources </w:t>
      </w:r>
      <w:r w:rsidRPr="7A7A869F">
        <w:rPr>
          <w:lang w:val="en-GB"/>
        </w:rPr>
        <w:t>Agency of Ukraine to collect relevant data, track timber as well as monitor the level of domestic consumption of unprocessed domestic timber.</w:t>
      </w:r>
    </w:p>
    <w:p w14:paraId="70759C63" w14:textId="080C6565" w:rsidR="002C036B" w:rsidRPr="003F63A1" w:rsidRDefault="002C036B" w:rsidP="002C036B">
      <w:pPr>
        <w:pStyle w:val="a3"/>
        <w:numPr>
          <w:ilvl w:val="0"/>
          <w:numId w:val="19"/>
        </w:numPr>
        <w:spacing w:after="120" w:line="360" w:lineRule="auto"/>
        <w:ind w:left="357" w:hanging="357"/>
        <w:rPr>
          <w:lang w:val="en-GB"/>
        </w:rPr>
      </w:pPr>
      <w:r w:rsidRPr="7A7A869F">
        <w:rPr>
          <w:lang w:val="en-GB"/>
        </w:rPr>
        <w:t xml:space="preserve">Although the electronic timber accounting system, which </w:t>
      </w:r>
      <w:r w:rsidR="007B1CEC" w:rsidRPr="7A7A869F">
        <w:rPr>
          <w:lang w:val="en-GB"/>
        </w:rPr>
        <w:t xml:space="preserve">allows </w:t>
      </w:r>
      <w:r w:rsidRPr="7A7A869F">
        <w:rPr>
          <w:lang w:val="en-GB"/>
        </w:rPr>
        <w:t>to track harvested timber</w:t>
      </w:r>
      <w:r w:rsidR="007B1CEC" w:rsidRPr="7A7A869F">
        <w:rPr>
          <w:lang w:val="en-GB"/>
        </w:rPr>
        <w:t xml:space="preserve"> (e.g. the police can check a licence plate of a car transporting timber and see whether the timber is in the system; if not, it is assumed that it was harvested illegally)</w:t>
      </w:r>
      <w:r w:rsidRPr="7A7A869F">
        <w:rPr>
          <w:lang w:val="en-GB"/>
        </w:rPr>
        <w:t>, is a measure aimed at combatting illegal logging, it cannot ensure real protection against illegal logging</w:t>
      </w:r>
      <w:r w:rsidR="007B1CEC" w:rsidRPr="7A7A869F">
        <w:rPr>
          <w:lang w:val="en-GB"/>
        </w:rPr>
        <w:t xml:space="preserve"> </w:t>
      </w:r>
      <w:r w:rsidR="00BC0EB5" w:rsidRPr="7A7A869F">
        <w:rPr>
          <w:lang w:val="en-GB"/>
        </w:rPr>
        <w:t>in its narrow meaning, i.e. to harvest timber without any permits rather than to conduct the same under false preten</w:t>
      </w:r>
      <w:r w:rsidR="00FA7053" w:rsidRPr="7A7A869F">
        <w:rPr>
          <w:lang w:val="en-GB"/>
        </w:rPr>
        <w:t>c</w:t>
      </w:r>
      <w:r w:rsidR="00BC0EB5" w:rsidRPr="7A7A869F">
        <w:rPr>
          <w:lang w:val="en-GB"/>
        </w:rPr>
        <w:t>es</w:t>
      </w:r>
      <w:r w:rsidRPr="7A7A869F">
        <w:rPr>
          <w:lang w:val="en-GB"/>
        </w:rPr>
        <w:t xml:space="preserve">. The reason is that the electronic timber tracking begins by attaching a special label to a log, i.e. </w:t>
      </w:r>
      <w:r w:rsidR="007B1CEC" w:rsidRPr="7A7A869F">
        <w:rPr>
          <w:lang w:val="en-GB"/>
        </w:rPr>
        <w:t xml:space="preserve">after </w:t>
      </w:r>
      <w:r w:rsidRPr="7A7A869F">
        <w:rPr>
          <w:lang w:val="en-GB"/>
        </w:rPr>
        <w:t xml:space="preserve">a </w:t>
      </w:r>
      <w:r w:rsidR="007B1CEC" w:rsidRPr="7A7A869F">
        <w:rPr>
          <w:lang w:val="en-GB"/>
        </w:rPr>
        <w:t xml:space="preserve">given </w:t>
      </w:r>
      <w:r w:rsidRPr="7A7A869F">
        <w:rPr>
          <w:lang w:val="en-GB"/>
        </w:rPr>
        <w:t>tree has been cut down.</w:t>
      </w:r>
    </w:p>
    <w:p w14:paraId="6AFD80AB" w14:textId="77777777" w:rsidR="002C036B" w:rsidRPr="003F63A1" w:rsidRDefault="002C036B" w:rsidP="002C036B">
      <w:pPr>
        <w:pStyle w:val="a3"/>
        <w:numPr>
          <w:ilvl w:val="0"/>
          <w:numId w:val="19"/>
        </w:numPr>
        <w:spacing w:after="120" w:line="360" w:lineRule="auto"/>
        <w:ind w:left="357" w:hanging="357"/>
        <w:rPr>
          <w:lang w:val="en-GB"/>
        </w:rPr>
      </w:pPr>
      <w:r w:rsidRPr="7A7A869F">
        <w:rPr>
          <w:lang w:val="en-GB"/>
        </w:rPr>
        <w:t>In any event, the mandatory electronic timber accounting system cannot replace an export ban if the purposes of introducing such measure are others than to solely combat illegal logging.</w:t>
      </w:r>
    </w:p>
    <w:p w14:paraId="37660BBA" w14:textId="54910093" w:rsidR="00A5587C" w:rsidRPr="003F63A1" w:rsidRDefault="00F75A6E" w:rsidP="00A5587C">
      <w:pPr>
        <w:pStyle w:val="a3"/>
        <w:numPr>
          <w:ilvl w:val="0"/>
          <w:numId w:val="19"/>
        </w:numPr>
        <w:spacing w:after="120" w:line="360" w:lineRule="auto"/>
        <w:ind w:left="357" w:hanging="357"/>
        <w:rPr>
          <w:lang w:val="en-GB"/>
        </w:rPr>
      </w:pPr>
      <w:r w:rsidRPr="7A7A869F">
        <w:rPr>
          <w:lang w:val="en-GB"/>
        </w:rPr>
        <w:t>As to the duty to report about the monitoring results by 1 April 2020. A</w:t>
      </w:r>
      <w:r w:rsidR="00A5587C" w:rsidRPr="7A7A869F">
        <w:rPr>
          <w:lang w:val="en-GB"/>
        </w:rPr>
        <w:t xml:space="preserve">ccording to paragraph 2 of Resolution of the Cabinet of Ministers of Ukraine </w:t>
      </w:r>
      <w:r w:rsidR="00A5587C" w:rsidRPr="7A7A869F">
        <w:rPr>
          <w:i/>
          <w:lang w:val="en-GB"/>
        </w:rPr>
        <w:t>“On Approval of the Procedure for Monitoring the Domestic Consumption of Unprocessed Domestic Timber and Controlling Excess of the Domestic Consumption of Unprocessed Domestic Timber”</w:t>
      </w:r>
      <w:r w:rsidR="00A5587C" w:rsidRPr="7A7A869F">
        <w:rPr>
          <w:lang w:val="en-GB"/>
        </w:rPr>
        <w:t xml:space="preserve"> No. 1142, dated 4 December 2019 (“Resolution No. 1142”), which was adopted to enforce the 25-million cubic meter consumption plan set by Article 4 of Law No. 2860-IV in 2018, the</w:t>
      </w:r>
      <w:r w:rsidR="00B91332" w:rsidRPr="7A7A869F">
        <w:rPr>
          <w:lang w:val="en-GB"/>
        </w:rPr>
        <w:t xml:space="preserve"> then</w:t>
      </w:r>
      <w:r w:rsidR="00A5587C" w:rsidRPr="7A7A869F">
        <w:rPr>
          <w:lang w:val="en-GB"/>
        </w:rPr>
        <w:t xml:space="preserve"> Ministry of Energy and </w:t>
      </w:r>
      <w:r w:rsidR="00A5587C" w:rsidRPr="7A7A869F">
        <w:rPr>
          <w:lang w:val="en-GB"/>
        </w:rPr>
        <w:lastRenderedPageBreak/>
        <w:t>Environmental Protection of Ukraine</w:t>
      </w:r>
      <w:r w:rsidR="00A5587C" w:rsidRPr="7A7A869F">
        <w:rPr>
          <w:vertAlign w:val="superscript"/>
          <w:lang w:val="en-GB"/>
        </w:rPr>
        <w:footnoteReference w:id="40"/>
      </w:r>
      <w:r w:rsidR="00A5587C" w:rsidRPr="7A7A869F">
        <w:rPr>
          <w:lang w:val="en-GB"/>
        </w:rPr>
        <w:t xml:space="preserve"> was under the duty to inform the Cabinet of Ministers of Ukraine of the results of monitoring of the domestic consumption of unprocessed domestic timber annually, no later than 1 April.</w:t>
      </w:r>
      <w:r w:rsidR="00A5587C" w:rsidRPr="7A7A869F">
        <w:rPr>
          <w:vertAlign w:val="superscript"/>
          <w:lang w:val="en-GB"/>
        </w:rPr>
        <w:footnoteReference w:id="41"/>
      </w:r>
      <w:r w:rsidR="00A5587C" w:rsidRPr="7A7A869F">
        <w:rPr>
          <w:lang w:val="en-GB"/>
        </w:rPr>
        <w:t xml:space="preserve"> </w:t>
      </w:r>
    </w:p>
    <w:p w14:paraId="60DCAA19" w14:textId="1A2894DB" w:rsidR="00A5587C" w:rsidRPr="003F63A1" w:rsidRDefault="00A5587C" w:rsidP="00A5587C">
      <w:pPr>
        <w:pStyle w:val="a3"/>
        <w:numPr>
          <w:ilvl w:val="0"/>
          <w:numId w:val="19"/>
        </w:numPr>
        <w:spacing w:after="120" w:line="360" w:lineRule="auto"/>
        <w:ind w:left="357" w:hanging="357"/>
        <w:rPr>
          <w:lang w:val="en-GB"/>
        </w:rPr>
      </w:pPr>
      <w:r w:rsidRPr="7A7A869F">
        <w:rPr>
          <w:lang w:val="en-GB"/>
        </w:rPr>
        <w:t xml:space="preserve">The State Forest </w:t>
      </w:r>
      <w:r w:rsidR="00AE7710" w:rsidRPr="7A7A869F">
        <w:rPr>
          <w:rFonts w:eastAsia="TimesNewRomanPS"/>
          <w:lang w:val="en-US"/>
        </w:rPr>
        <w:t>Resources</w:t>
      </w:r>
      <w:r w:rsidRPr="7A7A869F">
        <w:rPr>
          <w:lang w:val="en-GB"/>
        </w:rPr>
        <w:t xml:space="preserve"> Agency of Ukraine started to collect data on the domestic consumption of unprocessed domestic timber on 1 January 2020 and publishes the results of the monitoring process on its website</w:t>
      </w:r>
      <w:r w:rsidRPr="7A7A869F">
        <w:rPr>
          <w:vertAlign w:val="superscript"/>
          <w:lang w:val="en-GB"/>
        </w:rPr>
        <w:footnoteReference w:id="42"/>
      </w:r>
      <w:r w:rsidRPr="7A7A869F">
        <w:rPr>
          <w:lang w:val="en-GB"/>
        </w:rPr>
        <w:t xml:space="preserve"> </w:t>
      </w:r>
      <w:r w:rsidR="00C34882" w:rsidRPr="7A7A869F">
        <w:rPr>
          <w:lang w:val="en-GB"/>
        </w:rPr>
        <w:t xml:space="preserve">available to </w:t>
      </w:r>
      <w:r w:rsidR="006C385A" w:rsidRPr="7A7A869F">
        <w:rPr>
          <w:lang w:val="en-GB"/>
        </w:rPr>
        <w:t xml:space="preserve">the </w:t>
      </w:r>
      <w:r w:rsidR="00C34882" w:rsidRPr="7A7A869F">
        <w:rPr>
          <w:lang w:val="en-GB"/>
        </w:rPr>
        <w:t xml:space="preserve">general public </w:t>
      </w:r>
      <w:r w:rsidRPr="7A7A869F">
        <w:rPr>
          <w:lang w:val="en-GB"/>
        </w:rPr>
        <w:t>on a monthly basis so than to enforce the monitoring, control the domestic consumption and prevent any excess of the 25-million cubic meter consumption plan (if need</w:t>
      </w:r>
      <w:r w:rsidR="0075330D" w:rsidRPr="7A7A869F">
        <w:rPr>
          <w:lang w:val="en-GB"/>
        </w:rPr>
        <w:t>ed</w:t>
      </w:r>
      <w:r w:rsidRPr="7A7A869F">
        <w:rPr>
          <w:lang w:val="en-GB"/>
        </w:rPr>
        <w:t>).</w:t>
      </w:r>
    </w:p>
    <w:p w14:paraId="0C765E85" w14:textId="5F4C8D94" w:rsidR="00A5587C" w:rsidRPr="003F63A1" w:rsidRDefault="00A5587C" w:rsidP="00A5587C">
      <w:pPr>
        <w:pStyle w:val="a3"/>
        <w:numPr>
          <w:ilvl w:val="0"/>
          <w:numId w:val="19"/>
        </w:numPr>
        <w:spacing w:after="120" w:line="360" w:lineRule="auto"/>
        <w:ind w:left="357" w:hanging="357"/>
        <w:rPr>
          <w:lang w:val="en-GB"/>
        </w:rPr>
      </w:pPr>
      <w:r w:rsidRPr="7A7A869F">
        <w:rPr>
          <w:lang w:val="en-GB"/>
        </w:rPr>
        <w:t>Therefore, a ministry responsible for informing the Cabinet of Ministers of Ukraine under Resolution No. 1142, currently the Ministry of Ecology and Natural Resources of Ukraine, will have to submit its first report of the results of monitoring of the domestic consumption of unprocessed domestic timber for the year ending 31 December 2020 by 1 April 2021.</w:t>
      </w:r>
    </w:p>
    <w:p w14:paraId="2D9E8366" w14:textId="35CE5B35" w:rsidR="00E3108E" w:rsidRPr="003F63A1" w:rsidRDefault="00F75A6E" w:rsidP="00E3108E">
      <w:pPr>
        <w:pStyle w:val="a3"/>
        <w:numPr>
          <w:ilvl w:val="0"/>
          <w:numId w:val="19"/>
        </w:numPr>
        <w:spacing w:after="120" w:line="360" w:lineRule="auto"/>
        <w:ind w:left="357" w:hanging="357"/>
        <w:rPr>
          <w:lang w:val="en-GB"/>
        </w:rPr>
      </w:pPr>
      <w:r w:rsidRPr="7A7A869F">
        <w:rPr>
          <w:lang w:val="en-GB"/>
        </w:rPr>
        <w:t xml:space="preserve">Further, </w:t>
      </w:r>
      <w:r w:rsidR="00E3108E" w:rsidRPr="7A7A869F">
        <w:rPr>
          <w:lang w:val="en-GB"/>
        </w:rPr>
        <w:t>pursuant to Resolution No. 1142, the “domestic consumption of unprocessed domestic timber” means timber harvesting and timber sales.</w:t>
      </w:r>
      <w:r w:rsidR="00E3108E" w:rsidRPr="7A7A869F">
        <w:rPr>
          <w:vertAlign w:val="superscript"/>
          <w:lang w:val="en-GB"/>
        </w:rPr>
        <w:footnoteReference w:id="43"/>
      </w:r>
    </w:p>
    <w:p w14:paraId="3523A36B" w14:textId="77777777" w:rsidR="00E3108E" w:rsidRPr="003F63A1" w:rsidRDefault="00E3108E" w:rsidP="00E3108E">
      <w:pPr>
        <w:pStyle w:val="a3"/>
        <w:numPr>
          <w:ilvl w:val="0"/>
          <w:numId w:val="19"/>
        </w:numPr>
        <w:spacing w:after="120" w:line="360" w:lineRule="auto"/>
        <w:ind w:left="357" w:hanging="357"/>
        <w:rPr>
          <w:lang w:val="en-GB"/>
        </w:rPr>
      </w:pPr>
      <w:r w:rsidRPr="7A7A869F">
        <w:rPr>
          <w:lang w:val="en-GB"/>
        </w:rPr>
        <w:t>The raw data for monitoring timber harvesting and timber sales is collected from the electronic timber accounting system.</w:t>
      </w:r>
      <w:r w:rsidRPr="7A7A869F">
        <w:rPr>
          <w:vertAlign w:val="superscript"/>
          <w:lang w:val="en-GB"/>
        </w:rPr>
        <w:footnoteReference w:id="44"/>
      </w:r>
      <w:r w:rsidRPr="7A7A869F">
        <w:rPr>
          <w:lang w:val="en-GB"/>
        </w:rPr>
        <w:t xml:space="preserve"> </w:t>
      </w:r>
    </w:p>
    <w:p w14:paraId="3414DB33" w14:textId="7CECAEE9" w:rsidR="00A5587C" w:rsidRPr="003F63A1" w:rsidRDefault="00E3108E" w:rsidP="001B7024">
      <w:pPr>
        <w:pStyle w:val="a3"/>
        <w:numPr>
          <w:ilvl w:val="0"/>
          <w:numId w:val="19"/>
        </w:numPr>
        <w:spacing w:after="120" w:line="360" w:lineRule="auto"/>
        <w:ind w:left="357" w:hanging="357"/>
        <w:rPr>
          <w:lang w:val="en-GB"/>
        </w:rPr>
      </w:pPr>
      <w:r w:rsidRPr="7A7A869F">
        <w:rPr>
          <w:lang w:val="en-GB"/>
        </w:rPr>
        <w:t>A</w:t>
      </w:r>
      <w:r w:rsidR="00A5587C" w:rsidRPr="7A7A869F">
        <w:rPr>
          <w:lang w:val="en-GB"/>
        </w:rPr>
        <w:t xml:space="preserve">ccording to the report for the first </w:t>
      </w:r>
      <w:r w:rsidR="001B7024" w:rsidRPr="7A7A869F">
        <w:rPr>
          <w:lang w:val="en-GB"/>
        </w:rPr>
        <w:t xml:space="preserve">eight </w:t>
      </w:r>
      <w:r w:rsidR="00A5587C" w:rsidRPr="7A7A869F">
        <w:rPr>
          <w:lang w:val="en-GB"/>
        </w:rPr>
        <w:t>months of 2020,</w:t>
      </w:r>
      <w:r w:rsidR="00A5587C" w:rsidRPr="7A7A869F">
        <w:rPr>
          <w:vertAlign w:val="superscript"/>
          <w:lang w:val="en-GB"/>
        </w:rPr>
        <w:footnoteReference w:id="45"/>
      </w:r>
      <w:r w:rsidR="00A5587C" w:rsidRPr="7A7A869F">
        <w:rPr>
          <w:lang w:val="en-GB"/>
        </w:rPr>
        <w:t xml:space="preserve"> there were already harvested </w:t>
      </w:r>
      <w:r w:rsidR="001B7024" w:rsidRPr="7A7A869F">
        <w:rPr>
          <w:lang w:val="en-GB"/>
        </w:rPr>
        <w:t xml:space="preserve">10 404 142 </w:t>
      </w:r>
      <w:r w:rsidR="00A5587C" w:rsidRPr="7A7A869F">
        <w:rPr>
          <w:lang w:val="en-GB"/>
        </w:rPr>
        <w:t xml:space="preserve">cubic meters of timber and </w:t>
      </w:r>
      <w:r w:rsidR="001B7024" w:rsidRPr="7A7A869F">
        <w:rPr>
          <w:lang w:val="en-GB"/>
        </w:rPr>
        <w:t xml:space="preserve">9 050 636 </w:t>
      </w:r>
      <w:r w:rsidR="00A5587C" w:rsidRPr="7A7A869F">
        <w:rPr>
          <w:lang w:val="en-GB"/>
        </w:rPr>
        <w:t>cubic meters of timber were sold.</w:t>
      </w:r>
    </w:p>
    <w:p w14:paraId="795D438C" w14:textId="02890990" w:rsidR="00E3108E" w:rsidRPr="003F63A1" w:rsidRDefault="00E3108E" w:rsidP="00E3108E">
      <w:pPr>
        <w:pStyle w:val="a3"/>
        <w:numPr>
          <w:ilvl w:val="0"/>
          <w:numId w:val="19"/>
        </w:numPr>
        <w:spacing w:after="120" w:line="360" w:lineRule="auto"/>
        <w:rPr>
          <w:lang w:val="en-GB"/>
        </w:rPr>
      </w:pPr>
      <w:bookmarkStart w:id="54" w:name="_Ref52380910"/>
      <w:r w:rsidRPr="7A7A869F">
        <w:rPr>
          <w:lang w:val="en-GB"/>
        </w:rPr>
        <w:t>Since Resolution No. 1142 obliges all forest users to provide data about timber harvested and sold</w:t>
      </w:r>
      <w:r w:rsidRPr="7A7A869F">
        <w:rPr>
          <w:rStyle w:val="af6"/>
          <w:lang w:val="en-GB"/>
        </w:rPr>
        <w:footnoteReference w:id="46"/>
      </w:r>
      <w:r w:rsidRPr="7A7A869F">
        <w:rPr>
          <w:lang w:val="en-GB"/>
        </w:rPr>
        <w:t xml:space="preserve"> and entitles the State Forest </w:t>
      </w:r>
      <w:r w:rsidR="00AE7710" w:rsidRPr="7A7A869F">
        <w:rPr>
          <w:rFonts w:eastAsia="TimesNewRomanPS"/>
          <w:lang w:val="en-GB"/>
        </w:rPr>
        <w:t>Resources</w:t>
      </w:r>
      <w:r w:rsidR="00AE7710" w:rsidRPr="7A7A869F">
        <w:rPr>
          <w:lang w:val="en-GB"/>
        </w:rPr>
        <w:t xml:space="preserve"> </w:t>
      </w:r>
      <w:r w:rsidRPr="7A7A869F">
        <w:rPr>
          <w:lang w:val="en-GB"/>
        </w:rPr>
        <w:t xml:space="preserve">Agency of Ukraine to </w:t>
      </w:r>
      <w:r w:rsidRPr="7A7A869F">
        <w:rPr>
          <w:lang w:val="en-GB"/>
        </w:rPr>
        <w:lastRenderedPageBreak/>
        <w:t>suspend issuing special permits for the exploitation of forest resources</w:t>
      </w:r>
      <w:r w:rsidRPr="7A7A869F">
        <w:rPr>
          <w:rStyle w:val="af6"/>
          <w:lang w:val="en-GB"/>
        </w:rPr>
        <w:footnoteReference w:id="47"/>
      </w:r>
      <w:r w:rsidRPr="7A7A869F">
        <w:rPr>
          <w:lang w:val="en-GB"/>
        </w:rPr>
        <w:t xml:space="preserve"> (i.e. felling tickets and other permits allowing to harvest timber by way of forest formation and forest rehabilitation felling) if it becomes evident that the domestic consumption will be exceeding the cap, the electronic timber accounting system, therefore, is capable of enforcing the consumption cap of 25 million cubic meters.</w:t>
      </w:r>
      <w:bookmarkEnd w:id="54"/>
    </w:p>
    <w:p w14:paraId="5EA5A6EC" w14:textId="3C97B3FF" w:rsidR="00FC3614" w:rsidRPr="003F63A1" w:rsidRDefault="00FC3614" w:rsidP="007816B9">
      <w:pPr>
        <w:pStyle w:val="2"/>
        <w:rPr>
          <w:rFonts w:cs="Times New Roman"/>
          <w:lang w:val="en-GB"/>
        </w:rPr>
      </w:pPr>
      <w:bookmarkStart w:id="55" w:name="_Toc52886583"/>
      <w:bookmarkStart w:id="56" w:name="_Toc52896888"/>
      <w:r w:rsidRPr="003F63A1">
        <w:rPr>
          <w:rFonts w:cs="Times New Roman"/>
          <w:lang w:val="en-GB"/>
        </w:rPr>
        <w:t>Question 10</w:t>
      </w:r>
      <w:r w:rsidR="007816B9" w:rsidRPr="003F63A1">
        <w:rPr>
          <w:rFonts w:cs="Times New Roman"/>
          <w:lang w:val="en-GB"/>
        </w:rPr>
        <w:t xml:space="preserve"> – Re</w:t>
      </w:r>
      <w:r w:rsidR="008A2A45" w:rsidRPr="003F63A1">
        <w:rPr>
          <w:rFonts w:cs="Times New Roman"/>
          <w:lang w:val="en-GB"/>
        </w:rPr>
        <w:t>garding</w:t>
      </w:r>
      <w:r w:rsidR="007816B9" w:rsidRPr="003F63A1">
        <w:rPr>
          <w:rFonts w:cs="Times New Roman"/>
          <w:lang w:val="en-GB"/>
        </w:rPr>
        <w:t xml:space="preserve"> species covered by the “2005 export ban”</w:t>
      </w:r>
      <w:bookmarkEnd w:id="55"/>
      <w:bookmarkEnd w:id="56"/>
    </w:p>
    <w:p w14:paraId="6D6AB18B" w14:textId="21E367D5" w:rsidR="00650CB9" w:rsidRPr="003F63A1" w:rsidRDefault="00FC3614" w:rsidP="005B1468">
      <w:pPr>
        <w:spacing w:after="120"/>
        <w:jc w:val="both"/>
        <w:rPr>
          <w:sz w:val="26"/>
          <w:szCs w:val="26"/>
          <w:lang w:val="en-GB"/>
        </w:rPr>
      </w:pPr>
      <w:r w:rsidRPr="003F63A1">
        <w:rPr>
          <w:b/>
          <w:bCs/>
          <w:sz w:val="26"/>
          <w:szCs w:val="26"/>
          <w:lang w:val="en-GB"/>
        </w:rPr>
        <w:t>MR Giorgio SACERDOTI</w:t>
      </w:r>
      <w:r w:rsidRPr="003F63A1">
        <w:rPr>
          <w:rStyle w:val="st"/>
          <w:sz w:val="26"/>
          <w:szCs w:val="26"/>
          <w:lang w:val="en-GB"/>
        </w:rPr>
        <w:t xml:space="preserve">: </w:t>
      </w:r>
      <w:r w:rsidRPr="003F63A1">
        <w:rPr>
          <w:sz w:val="26"/>
          <w:szCs w:val="26"/>
          <w:lang w:val="en-GB"/>
        </w:rPr>
        <w:t>“</w:t>
      </w:r>
      <w:r w:rsidR="00650CB9" w:rsidRPr="003F63A1">
        <w:rPr>
          <w:sz w:val="26"/>
          <w:szCs w:val="26"/>
          <w:lang w:val="en-GB"/>
        </w:rPr>
        <w:t xml:space="preserve">I had two questions in respect of the </w:t>
      </w:r>
      <w:r w:rsidR="002177D4">
        <w:rPr>
          <w:sz w:val="26"/>
          <w:szCs w:val="26"/>
          <w:lang w:val="en-GB"/>
        </w:rPr>
        <w:t>“</w:t>
      </w:r>
      <w:r w:rsidR="00650CB9" w:rsidRPr="003F63A1">
        <w:rPr>
          <w:sz w:val="26"/>
          <w:szCs w:val="26"/>
          <w:lang w:val="en-GB"/>
        </w:rPr>
        <w:t xml:space="preserve">2005 </w:t>
      </w:r>
      <w:r w:rsidR="004C5332">
        <w:rPr>
          <w:sz w:val="26"/>
          <w:szCs w:val="26"/>
          <w:lang w:val="en-GB"/>
        </w:rPr>
        <w:t>[</w:t>
      </w:r>
      <w:r w:rsidR="002177D4">
        <w:rPr>
          <w:sz w:val="26"/>
          <w:szCs w:val="26"/>
          <w:lang w:val="en-GB"/>
        </w:rPr>
        <w:t>export</w:t>
      </w:r>
      <w:r w:rsidR="004C5332">
        <w:rPr>
          <w:sz w:val="26"/>
          <w:szCs w:val="26"/>
          <w:lang w:val="en-GB"/>
        </w:rPr>
        <w:t>]</w:t>
      </w:r>
      <w:r w:rsidR="002177D4">
        <w:rPr>
          <w:sz w:val="26"/>
          <w:szCs w:val="26"/>
          <w:lang w:val="en-GB"/>
        </w:rPr>
        <w:t xml:space="preserve"> </w:t>
      </w:r>
      <w:r w:rsidR="00650CB9" w:rsidRPr="003F63A1">
        <w:rPr>
          <w:sz w:val="26"/>
          <w:szCs w:val="26"/>
          <w:lang w:val="en-GB"/>
        </w:rPr>
        <w:t>ban</w:t>
      </w:r>
      <w:r w:rsidR="002177D4">
        <w:rPr>
          <w:sz w:val="26"/>
          <w:szCs w:val="26"/>
          <w:lang w:val="en-GB"/>
        </w:rPr>
        <w:t>”</w:t>
      </w:r>
      <w:r w:rsidR="00650CB9" w:rsidRPr="003F63A1">
        <w:rPr>
          <w:sz w:val="26"/>
          <w:szCs w:val="26"/>
          <w:lang w:val="en-GB"/>
        </w:rPr>
        <w:t xml:space="preserve">. One to Ukraine and one to the </w:t>
      </w:r>
      <w:r w:rsidR="004C5332">
        <w:rPr>
          <w:sz w:val="26"/>
          <w:szCs w:val="26"/>
          <w:lang w:val="en-GB"/>
        </w:rPr>
        <w:t>[</w:t>
      </w:r>
      <w:r w:rsidR="003F63A1" w:rsidRPr="003F63A1">
        <w:rPr>
          <w:sz w:val="26"/>
          <w:szCs w:val="26"/>
          <w:lang w:val="en-GB"/>
        </w:rPr>
        <w:t>European Union</w:t>
      </w:r>
      <w:r w:rsidR="004C5332">
        <w:rPr>
          <w:sz w:val="26"/>
          <w:szCs w:val="26"/>
          <w:lang w:val="en-GB"/>
        </w:rPr>
        <w:t>]</w:t>
      </w:r>
      <w:r w:rsidR="00650CB9" w:rsidRPr="003F63A1">
        <w:rPr>
          <w:sz w:val="26"/>
          <w:szCs w:val="26"/>
          <w:lang w:val="en-GB"/>
        </w:rPr>
        <w:t>. The one to Ukraine is subdivided in two.</w:t>
      </w:r>
    </w:p>
    <w:p w14:paraId="71C24812" w14:textId="6B545620" w:rsidR="0092073E" w:rsidRPr="003F63A1" w:rsidRDefault="00650CB9" w:rsidP="005B1468">
      <w:pPr>
        <w:spacing w:after="120"/>
        <w:jc w:val="both"/>
        <w:rPr>
          <w:sz w:val="26"/>
          <w:szCs w:val="26"/>
          <w:lang w:val="en-GB"/>
        </w:rPr>
      </w:pPr>
      <w:r w:rsidRPr="003F63A1">
        <w:rPr>
          <w:sz w:val="26"/>
          <w:szCs w:val="26"/>
          <w:lang w:val="en-GB"/>
        </w:rPr>
        <w:t xml:space="preserve">In you first submission at paragraphs 55-58 and then from 225 to 232 you have explained that the valuable and rare species whose export is prohibited by the </w:t>
      </w:r>
      <w:r w:rsidR="002177D4">
        <w:rPr>
          <w:sz w:val="26"/>
          <w:szCs w:val="26"/>
          <w:lang w:val="en-GB"/>
        </w:rPr>
        <w:t>“</w:t>
      </w:r>
      <w:r w:rsidRPr="003F63A1">
        <w:rPr>
          <w:sz w:val="26"/>
          <w:szCs w:val="26"/>
          <w:lang w:val="en-GB"/>
        </w:rPr>
        <w:t>2005</w:t>
      </w:r>
      <w:r w:rsidR="002177D4">
        <w:rPr>
          <w:sz w:val="26"/>
          <w:szCs w:val="26"/>
          <w:lang w:val="en-GB"/>
        </w:rPr>
        <w:t xml:space="preserve"> </w:t>
      </w:r>
      <w:r w:rsidR="004C5332">
        <w:rPr>
          <w:sz w:val="26"/>
          <w:szCs w:val="26"/>
          <w:lang w:val="en-GB"/>
        </w:rPr>
        <w:t>[</w:t>
      </w:r>
      <w:r w:rsidR="002177D4">
        <w:rPr>
          <w:sz w:val="26"/>
          <w:szCs w:val="26"/>
          <w:lang w:val="en-GB"/>
        </w:rPr>
        <w:t>export</w:t>
      </w:r>
      <w:r w:rsidR="004C5332">
        <w:rPr>
          <w:sz w:val="26"/>
          <w:szCs w:val="26"/>
          <w:lang w:val="en-GB"/>
        </w:rPr>
        <w:t>]</w:t>
      </w:r>
      <w:r w:rsidRPr="003F63A1">
        <w:rPr>
          <w:sz w:val="26"/>
          <w:szCs w:val="26"/>
          <w:lang w:val="en-GB"/>
        </w:rPr>
        <w:t xml:space="preserve"> ban</w:t>
      </w:r>
      <w:r w:rsidR="002177D4">
        <w:rPr>
          <w:sz w:val="26"/>
          <w:szCs w:val="26"/>
          <w:lang w:val="en-GB"/>
        </w:rPr>
        <w:t>”</w:t>
      </w:r>
      <w:r w:rsidRPr="003F63A1">
        <w:rPr>
          <w:sz w:val="26"/>
          <w:szCs w:val="26"/>
          <w:lang w:val="en-GB"/>
        </w:rPr>
        <w:t xml:space="preserve"> “are non-tradable domestically within Ukraine, in particular, for the industrial production and consumption”, this is in paragraph </w:t>
      </w:r>
      <w:r w:rsidR="0092073E" w:rsidRPr="003F63A1">
        <w:rPr>
          <w:sz w:val="26"/>
          <w:szCs w:val="26"/>
          <w:lang w:val="en-GB"/>
        </w:rPr>
        <w:t>2</w:t>
      </w:r>
      <w:r w:rsidRPr="003F63A1">
        <w:rPr>
          <w:sz w:val="26"/>
          <w:szCs w:val="26"/>
          <w:lang w:val="en-GB"/>
        </w:rPr>
        <w:t>26. So, my questions are:</w:t>
      </w:r>
    </w:p>
    <w:p w14:paraId="4B7BDB2A" w14:textId="77777777" w:rsidR="0092073E" w:rsidRPr="003F63A1" w:rsidRDefault="00650CB9" w:rsidP="005B1468">
      <w:pPr>
        <w:spacing w:after="120"/>
        <w:jc w:val="both"/>
        <w:rPr>
          <w:sz w:val="26"/>
          <w:szCs w:val="26"/>
          <w:lang w:val="en-GB"/>
        </w:rPr>
      </w:pPr>
      <w:r w:rsidRPr="003F63A1">
        <w:rPr>
          <w:sz w:val="26"/>
          <w:szCs w:val="26"/>
          <w:lang w:val="en-GB"/>
        </w:rPr>
        <w:t>a) is this “non-tradability” the result of the fact of commercial and industrial practice such as non-suitability of this wood to industrial transformation and/or use or absence of demand or are there legal provisions in place prohibiting or restricting commercial use in Ukraine of this species of woods?</w:t>
      </w:r>
    </w:p>
    <w:p w14:paraId="4048F74B" w14:textId="47C2B874" w:rsidR="0092073E" w:rsidRPr="003F63A1" w:rsidRDefault="00650CB9" w:rsidP="005B1468">
      <w:pPr>
        <w:spacing w:after="120"/>
        <w:jc w:val="both"/>
        <w:rPr>
          <w:sz w:val="26"/>
          <w:szCs w:val="26"/>
          <w:lang w:val="en-GB"/>
        </w:rPr>
      </w:pPr>
      <w:r w:rsidRPr="003F63A1">
        <w:rPr>
          <w:sz w:val="26"/>
          <w:szCs w:val="26"/>
          <w:lang w:val="en-GB"/>
        </w:rPr>
        <w:t xml:space="preserve">And connected second question. How relevant is to this effect the prohibition contained in </w:t>
      </w:r>
      <w:r w:rsidR="0092073E" w:rsidRPr="003F63A1">
        <w:rPr>
          <w:sz w:val="26"/>
          <w:szCs w:val="26"/>
          <w:lang w:val="en-GB"/>
        </w:rPr>
        <w:t xml:space="preserve">Article </w:t>
      </w:r>
      <w:r w:rsidRPr="003F63A1">
        <w:rPr>
          <w:sz w:val="26"/>
          <w:szCs w:val="26"/>
          <w:lang w:val="en-GB"/>
        </w:rPr>
        <w:t>70 of the Forest Code</w:t>
      </w:r>
      <w:r w:rsidR="00C75695">
        <w:rPr>
          <w:sz w:val="26"/>
          <w:szCs w:val="26"/>
          <w:lang w:val="en-GB"/>
        </w:rPr>
        <w:t xml:space="preserve"> </w:t>
      </w:r>
      <w:r w:rsidR="004C5332">
        <w:rPr>
          <w:sz w:val="26"/>
          <w:szCs w:val="26"/>
          <w:lang w:val="en-GB"/>
        </w:rPr>
        <w:t>[</w:t>
      </w:r>
      <w:r w:rsidR="00C75695">
        <w:rPr>
          <w:sz w:val="26"/>
          <w:szCs w:val="26"/>
          <w:lang w:val="en-GB"/>
        </w:rPr>
        <w:t>of Ukraine</w:t>
      </w:r>
      <w:r w:rsidR="004C5332">
        <w:rPr>
          <w:sz w:val="26"/>
          <w:szCs w:val="26"/>
          <w:lang w:val="en-GB"/>
        </w:rPr>
        <w:t>]</w:t>
      </w:r>
      <w:r w:rsidRPr="003F63A1">
        <w:rPr>
          <w:sz w:val="26"/>
          <w:szCs w:val="26"/>
          <w:lang w:val="en-GB"/>
        </w:rPr>
        <w:t>, the prohibition during timber harvesting or felling and damage of valuable and rare trees listed in directive</w:t>
      </w:r>
      <w:r w:rsidR="00C63AC6" w:rsidRPr="003F63A1">
        <w:rPr>
          <w:sz w:val="26"/>
          <w:szCs w:val="26"/>
          <w:lang w:val="en-GB"/>
        </w:rPr>
        <w:t>?</w:t>
      </w:r>
      <w:r w:rsidRPr="003F63A1">
        <w:rPr>
          <w:sz w:val="26"/>
          <w:szCs w:val="26"/>
          <w:lang w:val="en-GB"/>
        </w:rPr>
        <w:t xml:space="preserve"> So, there is a prohibition</w:t>
      </w:r>
      <w:r w:rsidR="00C63AC6" w:rsidRPr="003F63A1">
        <w:rPr>
          <w:sz w:val="26"/>
          <w:szCs w:val="26"/>
          <w:lang w:val="en-GB"/>
        </w:rPr>
        <w:t>,</w:t>
      </w:r>
      <w:r w:rsidRPr="003F63A1">
        <w:rPr>
          <w:sz w:val="26"/>
          <w:szCs w:val="26"/>
          <w:lang w:val="en-GB"/>
        </w:rPr>
        <w:t xml:space="preserve"> and the question is, how relevant it is to curb or regulate domestic consumption of this valuable and are domestic species?</w:t>
      </w:r>
    </w:p>
    <w:p w14:paraId="7AC505D3" w14:textId="77777777" w:rsidR="0092073E" w:rsidRPr="003F63A1" w:rsidRDefault="0092073E" w:rsidP="005B1468">
      <w:pPr>
        <w:spacing w:after="120"/>
        <w:jc w:val="both"/>
        <w:rPr>
          <w:sz w:val="26"/>
          <w:szCs w:val="26"/>
          <w:lang w:val="en-GB"/>
        </w:rPr>
      </w:pPr>
      <w:r w:rsidRPr="003F63A1">
        <w:rPr>
          <w:sz w:val="26"/>
          <w:szCs w:val="26"/>
          <w:lang w:val="en-GB"/>
        </w:rPr>
        <w:t>[…]</w:t>
      </w:r>
    </w:p>
    <w:p w14:paraId="53F80681" w14:textId="2C131ACA" w:rsidR="00650CB9" w:rsidRPr="003F63A1" w:rsidRDefault="0092073E" w:rsidP="005B1468">
      <w:pPr>
        <w:spacing w:after="120"/>
        <w:jc w:val="both"/>
        <w:rPr>
          <w:sz w:val="26"/>
          <w:szCs w:val="26"/>
          <w:lang w:val="en-GB"/>
        </w:rPr>
      </w:pPr>
      <w:r w:rsidRPr="003F63A1">
        <w:rPr>
          <w:sz w:val="26"/>
          <w:szCs w:val="26"/>
          <w:lang w:val="en-GB"/>
        </w:rPr>
        <w:t xml:space="preserve">I saw that there is </w:t>
      </w:r>
      <w:r w:rsidR="00386F93" w:rsidRPr="003F63A1">
        <w:rPr>
          <w:sz w:val="26"/>
          <w:szCs w:val="26"/>
          <w:lang w:val="en-GB"/>
        </w:rPr>
        <w:t xml:space="preserve">a </w:t>
      </w:r>
      <w:r w:rsidRPr="003F63A1">
        <w:rPr>
          <w:sz w:val="26"/>
          <w:szCs w:val="26"/>
          <w:lang w:val="en-GB"/>
        </w:rPr>
        <w:t xml:space="preserve">discrepancy in the various briefs by Ukraine and by the </w:t>
      </w:r>
      <w:r w:rsidR="003F63A1" w:rsidRPr="003F63A1">
        <w:rPr>
          <w:sz w:val="26"/>
          <w:szCs w:val="26"/>
          <w:lang w:val="en-GB"/>
        </w:rPr>
        <w:t>European Union</w:t>
      </w:r>
      <w:r w:rsidRPr="003F63A1">
        <w:rPr>
          <w:sz w:val="26"/>
          <w:szCs w:val="26"/>
          <w:lang w:val="en-GB"/>
        </w:rPr>
        <w:t xml:space="preserve">. How many and which of these species are in the Red Book, once it is written 2 species, another time it is written 5 species, and also which species are in </w:t>
      </w:r>
      <w:r w:rsidR="00386F93" w:rsidRPr="003F63A1">
        <w:rPr>
          <w:sz w:val="26"/>
          <w:szCs w:val="26"/>
          <w:lang w:val="en-GB"/>
        </w:rPr>
        <w:t xml:space="preserve">the </w:t>
      </w:r>
      <w:r w:rsidRPr="003F63A1">
        <w:rPr>
          <w:sz w:val="26"/>
          <w:szCs w:val="26"/>
          <w:lang w:val="en-GB"/>
        </w:rPr>
        <w:t>international endangered species list. Which of this 10, (</w:t>
      </w:r>
      <w:r w:rsidRPr="003F63A1">
        <w:rPr>
          <w:i/>
          <w:iCs/>
          <w:sz w:val="26"/>
          <w:szCs w:val="26"/>
          <w:lang w:val="en-GB"/>
        </w:rPr>
        <w:t xml:space="preserve">unintelligible). </w:t>
      </w:r>
      <w:r w:rsidRPr="003F63A1">
        <w:rPr>
          <w:sz w:val="26"/>
          <w:szCs w:val="26"/>
          <w:lang w:val="en-GB"/>
        </w:rPr>
        <w:t>It would be useful for you to answer in order to clarify the status of each of this species. Something has been said I think today by you, but so that Panel has this clear.</w:t>
      </w:r>
      <w:r w:rsidR="00650CB9" w:rsidRPr="003F63A1">
        <w:rPr>
          <w:sz w:val="26"/>
          <w:szCs w:val="26"/>
          <w:lang w:val="en-GB"/>
        </w:rPr>
        <w:t>”</w:t>
      </w:r>
    </w:p>
    <w:p w14:paraId="13A27D1E" w14:textId="73F78B00" w:rsidR="00986C35" w:rsidRPr="003F63A1" w:rsidRDefault="00191E91" w:rsidP="00A019E2">
      <w:pPr>
        <w:pStyle w:val="a3"/>
        <w:numPr>
          <w:ilvl w:val="0"/>
          <w:numId w:val="19"/>
        </w:numPr>
        <w:spacing w:after="120" w:line="360" w:lineRule="auto"/>
        <w:rPr>
          <w:lang w:val="en-GB"/>
        </w:rPr>
      </w:pPr>
      <w:r w:rsidRPr="7A7A869F">
        <w:rPr>
          <w:lang w:val="en-GB"/>
        </w:rPr>
        <w:t xml:space="preserve">Ukraine already </w:t>
      </w:r>
      <w:r w:rsidR="00C42F00" w:rsidRPr="7A7A869F">
        <w:rPr>
          <w:lang w:val="en-GB"/>
        </w:rPr>
        <w:t xml:space="preserve">clarified </w:t>
      </w:r>
      <w:r w:rsidR="00464831" w:rsidRPr="7A7A869F">
        <w:rPr>
          <w:lang w:val="en-GB"/>
        </w:rPr>
        <w:t xml:space="preserve">at </w:t>
      </w:r>
      <w:r w:rsidR="00A62CDC" w:rsidRPr="7A7A869F">
        <w:rPr>
          <w:lang w:val="en-GB"/>
        </w:rPr>
        <w:t xml:space="preserve">the hearings how many wood species </w:t>
      </w:r>
      <w:r w:rsidR="00986C35" w:rsidRPr="7A7A869F">
        <w:rPr>
          <w:lang w:val="en-GB"/>
        </w:rPr>
        <w:t xml:space="preserve">of those 10 wood genera/species covered by the “2005 export ban” are listed in the Red Book of Ukraine by </w:t>
      </w:r>
      <w:r w:rsidR="00D44D28" w:rsidRPr="7A7A869F">
        <w:rPr>
          <w:lang w:val="en-GB"/>
        </w:rPr>
        <w:t xml:space="preserve">making </w:t>
      </w:r>
      <w:r w:rsidR="00986C35" w:rsidRPr="7A7A869F">
        <w:rPr>
          <w:lang w:val="en-GB"/>
        </w:rPr>
        <w:t xml:space="preserve">reference to </w:t>
      </w:r>
      <w:r w:rsidR="00C42F00" w:rsidRPr="7A7A869F">
        <w:rPr>
          <w:lang w:val="en-GB"/>
        </w:rPr>
        <w:t xml:space="preserve">paragraphs 116-117 of its Provisional Opening </w:t>
      </w:r>
      <w:r w:rsidR="00C42F00" w:rsidRPr="7A7A869F">
        <w:rPr>
          <w:lang w:val="en-GB"/>
        </w:rPr>
        <w:lastRenderedPageBreak/>
        <w:t>Oral Statement</w:t>
      </w:r>
      <w:r w:rsidR="00986C35" w:rsidRPr="7A7A869F">
        <w:rPr>
          <w:lang w:val="en-GB"/>
        </w:rPr>
        <w:t xml:space="preserve"> and, in particular, to </w:t>
      </w:r>
      <w:r w:rsidR="00C42F00" w:rsidRPr="7A7A869F">
        <w:rPr>
          <w:lang w:val="en-GB"/>
        </w:rPr>
        <w:t xml:space="preserve">footnote 76 to paragraph 117 </w:t>
      </w:r>
      <w:r w:rsidR="00986C35" w:rsidRPr="7A7A869F">
        <w:rPr>
          <w:lang w:val="en-GB"/>
        </w:rPr>
        <w:t>thereof.</w:t>
      </w:r>
      <w:r w:rsidR="00464831" w:rsidRPr="7A7A869F">
        <w:rPr>
          <w:lang w:val="en-GB"/>
        </w:rPr>
        <w:t xml:space="preserve"> </w:t>
      </w:r>
      <w:r w:rsidR="00847B85" w:rsidRPr="7A7A869F">
        <w:rPr>
          <w:lang w:val="en-GB"/>
        </w:rPr>
        <w:t xml:space="preserve">The Arbitration Panel’s question is also covered by the Arbitration Panel’s suggested issues Nos. 9 and 10 </w:t>
      </w:r>
      <w:r w:rsidR="00014E44" w:rsidRPr="7A7A869F">
        <w:rPr>
          <w:lang w:val="en-GB"/>
        </w:rPr>
        <w:t xml:space="preserve">of Panel Suggestions for Issues to Address in the Hearings </w:t>
      </w:r>
      <w:r w:rsidR="00847B85" w:rsidRPr="7A7A869F">
        <w:rPr>
          <w:lang w:val="en-GB"/>
        </w:rPr>
        <w:t>of 16 June 2020.</w:t>
      </w:r>
      <w:r w:rsidR="00464831" w:rsidRPr="7A7A869F">
        <w:rPr>
          <w:lang w:val="en-GB"/>
        </w:rPr>
        <w:t xml:space="preserve"> Therefore, Ukraine submits as follows.</w:t>
      </w:r>
    </w:p>
    <w:p w14:paraId="7CB05568" w14:textId="1E390F23" w:rsidR="00B572FE" w:rsidRPr="003F63A1" w:rsidRDefault="00B572FE" w:rsidP="00B572FE">
      <w:pPr>
        <w:pStyle w:val="a3"/>
        <w:numPr>
          <w:ilvl w:val="0"/>
          <w:numId w:val="19"/>
        </w:numPr>
        <w:spacing w:after="120" w:line="360" w:lineRule="auto"/>
        <w:rPr>
          <w:lang w:val="en-GB"/>
        </w:rPr>
      </w:pPr>
      <w:r w:rsidRPr="7A7A869F">
        <w:rPr>
          <w:lang w:val="en-GB"/>
        </w:rPr>
        <w:t>As has been already submitted,</w:t>
      </w:r>
      <w:r w:rsidRPr="7A7A869F">
        <w:rPr>
          <w:rStyle w:val="af6"/>
          <w:lang w:val="en-GB"/>
        </w:rPr>
        <w:footnoteReference w:id="48"/>
      </w:r>
      <w:r w:rsidRPr="7A7A869F">
        <w:rPr>
          <w:lang w:val="en-GB"/>
        </w:rPr>
        <w:t xml:space="preserve"> not all of 10 valuable and rare wood </w:t>
      </w:r>
      <w:r w:rsidR="00464831" w:rsidRPr="7A7A869F">
        <w:rPr>
          <w:lang w:val="en-GB"/>
        </w:rPr>
        <w:t>genera/</w:t>
      </w:r>
      <w:r w:rsidRPr="7A7A869F">
        <w:rPr>
          <w:lang w:val="en-GB"/>
        </w:rPr>
        <w:t>species covered by the so-called “2005 export ban” are on the list of the Red Book of Ukraine.</w:t>
      </w:r>
    </w:p>
    <w:p w14:paraId="13C97497" w14:textId="18159749" w:rsidR="00B572FE" w:rsidRPr="003F63A1" w:rsidRDefault="00B572FE" w:rsidP="00B572FE">
      <w:pPr>
        <w:pStyle w:val="a3"/>
        <w:numPr>
          <w:ilvl w:val="0"/>
          <w:numId w:val="19"/>
        </w:numPr>
        <w:spacing w:after="120" w:line="360" w:lineRule="auto"/>
        <w:rPr>
          <w:lang w:val="en-GB"/>
        </w:rPr>
      </w:pPr>
      <w:r w:rsidRPr="7A7A869F">
        <w:rPr>
          <w:lang w:val="en-GB"/>
        </w:rPr>
        <w:t>Since 1980, three editions of the Red Book of Ukraine were issued. In 1980, the 1</w:t>
      </w:r>
      <w:r w:rsidRPr="7A7A869F">
        <w:rPr>
          <w:vertAlign w:val="superscript"/>
          <w:lang w:val="en-GB"/>
        </w:rPr>
        <w:t>st</w:t>
      </w:r>
      <w:r w:rsidRPr="7A7A869F">
        <w:rPr>
          <w:lang w:val="en-GB"/>
        </w:rPr>
        <w:t xml:space="preserve"> edition of the Red Book of the Ukrainian Soviet Socialist Republic was published, listing 85 animal species and 151 </w:t>
      </w:r>
      <w:r w:rsidR="001F1F91" w:rsidRPr="7A7A869F">
        <w:rPr>
          <w:lang w:val="en-GB"/>
        </w:rPr>
        <w:t>mushroom</w:t>
      </w:r>
      <w:r w:rsidRPr="7A7A869F">
        <w:rPr>
          <w:lang w:val="en-GB"/>
        </w:rPr>
        <w:t xml:space="preserve"> and plant species, i.e. 236 species in total. In the 1990s, it was issued the 2</w:t>
      </w:r>
      <w:r w:rsidRPr="7A7A869F">
        <w:rPr>
          <w:vertAlign w:val="superscript"/>
          <w:lang w:val="en-GB"/>
        </w:rPr>
        <w:t>nd</w:t>
      </w:r>
      <w:r w:rsidRPr="7A7A869F">
        <w:rPr>
          <w:lang w:val="en-GB"/>
        </w:rPr>
        <w:t xml:space="preserve"> edition of the Red Book of Ukraine: the first part listing 382 animal species was issued in 1994, while the second part listing 541 </w:t>
      </w:r>
      <w:r w:rsidR="003D2A5C" w:rsidRPr="7A7A869F">
        <w:rPr>
          <w:lang w:val="en-GB"/>
        </w:rPr>
        <w:t>mushroom</w:t>
      </w:r>
      <w:r w:rsidRPr="7A7A869F">
        <w:rPr>
          <w:lang w:val="en-GB"/>
        </w:rPr>
        <w:t xml:space="preserve"> and plant species was issued in 1996. The current 3</w:t>
      </w:r>
      <w:r w:rsidRPr="7A7A869F">
        <w:rPr>
          <w:vertAlign w:val="superscript"/>
          <w:lang w:val="en-GB"/>
        </w:rPr>
        <w:t>rd</w:t>
      </w:r>
      <w:r w:rsidRPr="7A7A869F">
        <w:rPr>
          <w:lang w:val="en-GB"/>
        </w:rPr>
        <w:t xml:space="preserve"> edition of the Red Book of Ukraine was issued in 2009, and it lists 826 </w:t>
      </w:r>
      <w:r w:rsidR="001F1F91" w:rsidRPr="7A7A869F">
        <w:rPr>
          <w:lang w:val="en-GB"/>
        </w:rPr>
        <w:t xml:space="preserve">mushroom </w:t>
      </w:r>
      <w:r w:rsidRPr="7A7A869F">
        <w:rPr>
          <w:lang w:val="en-GB"/>
        </w:rPr>
        <w:t>and plant species and 543</w:t>
      </w:r>
      <w:r w:rsidRPr="7A7A869F">
        <w:rPr>
          <w:rStyle w:val="af6"/>
          <w:lang w:val="en-GB"/>
        </w:rPr>
        <w:footnoteReference w:id="49"/>
      </w:r>
      <w:r w:rsidRPr="7A7A869F">
        <w:rPr>
          <w:lang w:val="en-GB"/>
        </w:rPr>
        <w:t xml:space="preserve"> animal species.</w:t>
      </w:r>
    </w:p>
    <w:p w14:paraId="328A776F" w14:textId="3EC608DB" w:rsidR="00B572FE" w:rsidRPr="003F63A1" w:rsidRDefault="00B572FE" w:rsidP="00B572FE">
      <w:pPr>
        <w:pStyle w:val="a3"/>
        <w:numPr>
          <w:ilvl w:val="0"/>
          <w:numId w:val="19"/>
        </w:numPr>
        <w:spacing w:after="120" w:line="360" w:lineRule="auto"/>
        <w:rPr>
          <w:lang w:val="en-GB"/>
        </w:rPr>
      </w:pPr>
      <w:r w:rsidRPr="7A7A869F">
        <w:rPr>
          <w:lang w:val="en-GB"/>
        </w:rPr>
        <w:t>At the time of adoption of the lists of species to be included into the 3</w:t>
      </w:r>
      <w:r w:rsidRPr="7A7A869F">
        <w:rPr>
          <w:vertAlign w:val="superscript"/>
          <w:lang w:val="en-GB"/>
        </w:rPr>
        <w:t>rd</w:t>
      </w:r>
      <w:r w:rsidRPr="7A7A869F">
        <w:rPr>
          <w:lang w:val="en-GB"/>
        </w:rPr>
        <w:t xml:space="preserve"> edition of the Red Book of Ukraine,</w:t>
      </w:r>
      <w:r w:rsidRPr="7A7A869F">
        <w:rPr>
          <w:rStyle w:val="af6"/>
          <w:lang w:val="en-GB"/>
        </w:rPr>
        <w:footnoteReference w:id="50"/>
      </w:r>
      <w:r w:rsidRPr="7A7A869F">
        <w:rPr>
          <w:lang w:val="en-GB"/>
        </w:rPr>
        <w:t xml:space="preserve"> the then Ministry of Environmental Protection of Ukraine also adopted the list of plant and </w:t>
      </w:r>
      <w:r w:rsidR="00AD5FAF" w:rsidRPr="7A7A869F">
        <w:rPr>
          <w:lang w:val="en-GB"/>
        </w:rPr>
        <w:t>mushroom</w:t>
      </w:r>
      <w:r w:rsidRPr="7A7A869F">
        <w:rPr>
          <w:lang w:val="en-GB"/>
        </w:rPr>
        <w:t xml:space="preserve"> species to be excluded from the Red Book of Ukraine. Only 24 plant species and one </w:t>
      </w:r>
      <w:r w:rsidR="00AD5FAF" w:rsidRPr="7A7A869F">
        <w:rPr>
          <w:lang w:val="en-GB"/>
        </w:rPr>
        <w:t xml:space="preserve">mushroom </w:t>
      </w:r>
      <w:r w:rsidRPr="7A7A869F">
        <w:rPr>
          <w:lang w:val="en-GB"/>
        </w:rPr>
        <w:t>species were excluded from the Red Book of Ukraine.</w:t>
      </w:r>
    </w:p>
    <w:p w14:paraId="0514A81B" w14:textId="77777777" w:rsidR="00B572FE" w:rsidRPr="003F63A1" w:rsidRDefault="00B572FE" w:rsidP="00B572FE">
      <w:pPr>
        <w:pStyle w:val="a3"/>
        <w:numPr>
          <w:ilvl w:val="0"/>
          <w:numId w:val="19"/>
        </w:numPr>
        <w:spacing w:after="120" w:line="360" w:lineRule="auto"/>
        <w:rPr>
          <w:lang w:val="en-GB"/>
        </w:rPr>
      </w:pPr>
      <w:r w:rsidRPr="7A7A869F">
        <w:rPr>
          <w:lang w:val="en-GB"/>
        </w:rPr>
        <w:t>The history of the Red Book of Ukraine shows that in 29 years, since its 1</w:t>
      </w:r>
      <w:r w:rsidRPr="7A7A869F">
        <w:rPr>
          <w:vertAlign w:val="superscript"/>
          <w:lang w:val="en-GB"/>
        </w:rPr>
        <w:t>st</w:t>
      </w:r>
      <w:r w:rsidRPr="7A7A869F">
        <w:rPr>
          <w:lang w:val="en-GB"/>
        </w:rPr>
        <w:t xml:space="preserve"> edition, the number of vulnerable and rare species put under special legal protection being a part of the Ukrainian environmental policies dramatically increased.</w:t>
      </w:r>
    </w:p>
    <w:p w14:paraId="0481D1EE" w14:textId="663C2A09" w:rsidR="00B572FE" w:rsidRPr="003F63A1" w:rsidRDefault="00B572FE" w:rsidP="00B572FE">
      <w:pPr>
        <w:pStyle w:val="a3"/>
        <w:numPr>
          <w:ilvl w:val="0"/>
          <w:numId w:val="19"/>
        </w:numPr>
        <w:spacing w:after="120" w:line="360" w:lineRule="auto"/>
        <w:rPr>
          <w:lang w:val="en-GB"/>
        </w:rPr>
      </w:pPr>
      <w:r w:rsidRPr="7A7A869F">
        <w:rPr>
          <w:lang w:val="en-GB"/>
        </w:rPr>
        <w:t xml:space="preserve">According to the List of </w:t>
      </w:r>
      <w:r w:rsidR="003D2A5C" w:rsidRPr="7A7A869F">
        <w:rPr>
          <w:lang w:val="en-GB"/>
        </w:rPr>
        <w:t>Plant and Mushroom Species that are included to the Red Book of Ukraine (Plant Life)</w:t>
      </w:r>
      <w:r w:rsidRPr="7A7A869F">
        <w:rPr>
          <w:lang w:val="en-GB"/>
        </w:rPr>
        <w:t>,</w:t>
      </w:r>
      <w:r w:rsidRPr="7A7A869F">
        <w:rPr>
          <w:rStyle w:val="af6"/>
          <w:lang w:val="en-GB"/>
        </w:rPr>
        <w:footnoteReference w:id="51"/>
      </w:r>
      <w:r w:rsidRPr="7A7A869F">
        <w:rPr>
          <w:lang w:val="en-GB"/>
        </w:rPr>
        <w:t xml:space="preserve"> there are </w:t>
      </w:r>
      <w:r w:rsidRPr="7A7A869F">
        <w:rPr>
          <w:b/>
          <w:lang w:val="en-GB"/>
        </w:rPr>
        <w:t>five wood species</w:t>
      </w:r>
      <w:r w:rsidRPr="7A7A869F">
        <w:rPr>
          <w:lang w:val="en-GB"/>
        </w:rPr>
        <w:t xml:space="preserve"> out of those wood </w:t>
      </w:r>
      <w:r w:rsidRPr="7A7A869F">
        <w:rPr>
          <w:lang w:val="en-GB"/>
        </w:rPr>
        <w:lastRenderedPageBreak/>
        <w:t xml:space="preserve">species covered by the so-called “2005 export ban” which are </w:t>
      </w:r>
      <w:r w:rsidRPr="7A7A869F">
        <w:rPr>
          <w:b/>
          <w:lang w:val="en-GB"/>
        </w:rPr>
        <w:t>on the Ukrainian Red Book list</w:t>
      </w:r>
      <w:r w:rsidRPr="7A7A869F">
        <w:rPr>
          <w:lang w:val="en-GB"/>
        </w:rPr>
        <w:t xml:space="preserve">, namely: </w:t>
      </w:r>
    </w:p>
    <w:p w14:paraId="035F3AD5" w14:textId="45A84FCF" w:rsidR="00B572FE" w:rsidRPr="003F63A1" w:rsidRDefault="00B572FE" w:rsidP="00B572FE">
      <w:pPr>
        <w:pStyle w:val="a3"/>
        <w:numPr>
          <w:ilvl w:val="1"/>
          <w:numId w:val="19"/>
        </w:numPr>
        <w:spacing w:after="120" w:line="360" w:lineRule="auto"/>
        <w:rPr>
          <w:rFonts w:asciiTheme="minorHAnsi" w:eastAsiaTheme="minorEastAsia" w:hAnsiTheme="minorHAnsi" w:cstheme="minorBidi"/>
          <w:szCs w:val="26"/>
          <w:vertAlign w:val="superscript"/>
          <w:lang w:val="en-GB"/>
        </w:rPr>
      </w:pPr>
      <w:r w:rsidRPr="7A7A869F">
        <w:rPr>
          <w:lang w:val="en-GB"/>
        </w:rPr>
        <w:t xml:space="preserve">“берека”, in English – </w:t>
      </w:r>
      <w:r w:rsidRPr="7A7A869F">
        <w:rPr>
          <w:b/>
          <w:lang w:val="en-GB"/>
        </w:rPr>
        <w:t>ch</w:t>
      </w:r>
      <w:r w:rsidRPr="7A7A869F">
        <w:rPr>
          <w:rFonts w:eastAsia="Calibri"/>
          <w:b/>
          <w:lang w:val="en-GB"/>
        </w:rPr>
        <w:t>ecker trees</w:t>
      </w:r>
      <w:r w:rsidRPr="7A7A869F">
        <w:rPr>
          <w:rFonts w:eastAsia="Calibri"/>
          <w:lang w:val="en-GB"/>
        </w:rPr>
        <w:t xml:space="preserve"> (</w:t>
      </w:r>
      <w:r w:rsidRPr="7A7A869F">
        <w:rPr>
          <w:rFonts w:eastAsia="Calibri"/>
          <w:i/>
          <w:lang w:val="en-GB"/>
        </w:rPr>
        <w:t xml:space="preserve">Sorbus torminalis </w:t>
      </w:r>
      <w:r w:rsidRPr="7A7A869F">
        <w:rPr>
          <w:rFonts w:eastAsia="Calibri"/>
          <w:lang w:val="en-GB"/>
        </w:rPr>
        <w:t>(L.) Crantz).</w:t>
      </w:r>
      <w:r w:rsidRPr="7A7A869F">
        <w:rPr>
          <w:rStyle w:val="af6"/>
          <w:rFonts w:eastAsia="Calibri"/>
          <w:lang w:val="en-GB"/>
        </w:rPr>
        <w:footnoteReference w:id="52"/>
      </w:r>
      <w:r w:rsidRPr="7A7A869F">
        <w:rPr>
          <w:rFonts w:eastAsia="Calibri"/>
          <w:lang w:val="en-GB"/>
        </w:rPr>
        <w:t xml:space="preserve"> This wood species is categorised as “</w:t>
      </w:r>
      <w:r w:rsidRPr="7A7A869F">
        <w:rPr>
          <w:rFonts w:eastAsia="Calibri"/>
          <w:b/>
          <w:lang w:val="en-GB"/>
        </w:rPr>
        <w:t>unvalued</w:t>
      </w:r>
      <w:r w:rsidRPr="7A7A869F">
        <w:rPr>
          <w:rFonts w:eastAsia="Calibri"/>
          <w:lang w:val="en-GB"/>
        </w:rPr>
        <w:t>”</w:t>
      </w:r>
      <w:r w:rsidRPr="7A7A869F">
        <w:rPr>
          <w:rStyle w:val="af6"/>
          <w:rFonts w:eastAsia="Calibri"/>
          <w:lang w:val="en-GB"/>
        </w:rPr>
        <w:footnoteReference w:id="53"/>
      </w:r>
      <w:r w:rsidRPr="7A7A869F">
        <w:rPr>
          <w:rFonts w:eastAsia="Calibri"/>
          <w:lang w:val="en-GB"/>
        </w:rPr>
        <w:t xml:space="preserve"> meaning that it is known that a species may fall into one of the threatened categories of species becoming extinct, namely rare, vulnerable or endangered;</w:t>
      </w:r>
      <w:r w:rsidRPr="7A7A869F">
        <w:rPr>
          <w:rStyle w:val="af6"/>
          <w:rFonts w:eastAsia="Calibri"/>
          <w:lang w:val="en-GB"/>
        </w:rPr>
        <w:footnoteReference w:id="54"/>
      </w:r>
    </w:p>
    <w:p w14:paraId="7760A6A9" w14:textId="1D2CBBC8" w:rsidR="00B572FE" w:rsidRPr="0055296E" w:rsidRDefault="1F4A3503" w:rsidP="00B572FE">
      <w:pPr>
        <w:pStyle w:val="a3"/>
        <w:numPr>
          <w:ilvl w:val="1"/>
          <w:numId w:val="19"/>
        </w:numPr>
        <w:spacing w:after="120" w:line="360" w:lineRule="auto"/>
        <w:rPr>
          <w:rFonts w:asciiTheme="minorHAnsi" w:eastAsiaTheme="minorEastAsia" w:hAnsiTheme="minorHAnsi" w:cstheme="minorBidi"/>
          <w:szCs w:val="26"/>
          <w:vertAlign w:val="superscript"/>
          <w:lang w:val="en-GB"/>
        </w:rPr>
      </w:pPr>
      <w:r w:rsidRPr="7A7A869F">
        <w:rPr>
          <w:lang w:val="en-GB"/>
        </w:rPr>
        <w:t>“</w:t>
      </w:r>
      <w:r w:rsidR="00B572FE" w:rsidRPr="7A7A869F">
        <w:rPr>
          <w:rFonts w:eastAsia="Calibri"/>
          <w:lang w:val="en-GB"/>
        </w:rPr>
        <w:t xml:space="preserve">тис ягідний”, in </w:t>
      </w:r>
      <w:r w:rsidR="00B572FE" w:rsidRPr="7A7A869F">
        <w:rPr>
          <w:lang w:val="en-GB"/>
        </w:rPr>
        <w:t xml:space="preserve">English – </w:t>
      </w:r>
      <w:r w:rsidR="00B572FE" w:rsidRPr="7A7A869F">
        <w:rPr>
          <w:rFonts w:eastAsia="Calibri"/>
          <w:b/>
          <w:lang w:val="en-GB"/>
        </w:rPr>
        <w:t>common yews</w:t>
      </w:r>
      <w:r w:rsidR="00B572FE" w:rsidRPr="7A7A869F">
        <w:rPr>
          <w:rFonts w:eastAsia="Calibri"/>
          <w:lang w:val="en-GB"/>
        </w:rPr>
        <w:t xml:space="preserve"> (</w:t>
      </w:r>
      <w:r w:rsidR="00B572FE" w:rsidRPr="7A7A869F">
        <w:rPr>
          <w:rFonts w:eastAsia="Calibri"/>
          <w:i/>
          <w:lang w:val="en-GB"/>
        </w:rPr>
        <w:t xml:space="preserve">Taxus baccata </w:t>
      </w:r>
      <w:r w:rsidR="00B572FE" w:rsidRPr="7A7A869F">
        <w:rPr>
          <w:rFonts w:eastAsia="Calibri"/>
          <w:lang w:val="en-GB"/>
        </w:rPr>
        <w:t>L.).</w:t>
      </w:r>
      <w:r w:rsidR="00B572FE" w:rsidRPr="7A7A869F">
        <w:rPr>
          <w:rStyle w:val="af6"/>
          <w:rFonts w:eastAsia="Calibri"/>
          <w:lang w:val="en-GB"/>
        </w:rPr>
        <w:footnoteReference w:id="55"/>
      </w:r>
      <w:r w:rsidR="00B572FE" w:rsidRPr="7A7A869F">
        <w:rPr>
          <w:rFonts w:eastAsia="Calibri"/>
          <w:lang w:val="en-GB"/>
        </w:rPr>
        <w:t xml:space="preserve"> This wood species is categorised as “</w:t>
      </w:r>
      <w:r w:rsidR="00B572FE" w:rsidRPr="7A7A869F">
        <w:rPr>
          <w:rFonts w:eastAsia="Calibri"/>
          <w:b/>
          <w:lang w:val="en-GB"/>
        </w:rPr>
        <w:t>vulnerable</w:t>
      </w:r>
      <w:r w:rsidR="00B572FE" w:rsidRPr="7A7A869F">
        <w:rPr>
          <w:rFonts w:eastAsia="Calibri"/>
          <w:lang w:val="en-GB"/>
        </w:rPr>
        <w:t>”</w:t>
      </w:r>
      <w:r w:rsidR="00B572FE" w:rsidRPr="7A7A869F">
        <w:rPr>
          <w:rStyle w:val="af6"/>
          <w:rFonts w:eastAsia="Calibri"/>
          <w:lang w:val="en-GB"/>
        </w:rPr>
        <w:footnoteReference w:id="56"/>
      </w:r>
      <w:r w:rsidR="00B572FE" w:rsidRPr="7A7A869F">
        <w:rPr>
          <w:rFonts w:eastAsia="Calibri"/>
          <w:lang w:val="en-GB"/>
        </w:rPr>
        <w:t xml:space="preserve"> meaning that it may be included in the list of endangered species in the nearest future if negative factors affecting its population will continue;</w:t>
      </w:r>
      <w:r w:rsidR="00B572FE" w:rsidRPr="7A7A869F">
        <w:rPr>
          <w:rStyle w:val="af6"/>
          <w:rFonts w:eastAsia="Calibri"/>
          <w:lang w:val="en-GB"/>
        </w:rPr>
        <w:footnoteReference w:id="57"/>
      </w:r>
    </w:p>
    <w:p w14:paraId="51E6A4D1" w14:textId="7D0963E1" w:rsidR="00B572FE" w:rsidRPr="003F63A1" w:rsidRDefault="00B572FE" w:rsidP="00B572FE">
      <w:pPr>
        <w:pStyle w:val="a3"/>
        <w:numPr>
          <w:ilvl w:val="1"/>
          <w:numId w:val="19"/>
        </w:numPr>
        <w:spacing w:after="120" w:line="360" w:lineRule="auto"/>
        <w:rPr>
          <w:rFonts w:asciiTheme="minorHAnsi" w:eastAsiaTheme="minorEastAsia" w:hAnsiTheme="minorHAnsi" w:cstheme="minorBidi"/>
          <w:b/>
          <w:szCs w:val="26"/>
          <w:vertAlign w:val="superscript"/>
          <w:lang w:val="en-GB"/>
        </w:rPr>
      </w:pPr>
      <w:r w:rsidRPr="7A7A869F">
        <w:rPr>
          <w:rFonts w:eastAsia="Calibri"/>
          <w:lang w:val="en-GB"/>
        </w:rPr>
        <w:t xml:space="preserve">Two species of </w:t>
      </w:r>
      <w:r w:rsidRPr="7A7A869F">
        <w:rPr>
          <w:rFonts w:eastAsia="Calibri"/>
          <w:b/>
          <w:lang w:val="en-GB"/>
        </w:rPr>
        <w:t>juniper</w:t>
      </w:r>
      <w:r w:rsidRPr="7A7A869F">
        <w:rPr>
          <w:rFonts w:eastAsia="Calibri"/>
          <w:lang w:val="en-GB"/>
        </w:rPr>
        <w:t xml:space="preserve"> (in Ukrainian “ялівець” or “яловець”), namely </w:t>
      </w:r>
      <w:r w:rsidRPr="7A7A869F">
        <w:rPr>
          <w:rFonts w:eastAsia="Calibri"/>
          <w:i/>
          <w:lang w:val="en-GB"/>
        </w:rPr>
        <w:t>Juniperus excelsa</w:t>
      </w:r>
      <w:r w:rsidRPr="7A7A869F">
        <w:rPr>
          <w:rFonts w:eastAsia="Calibri"/>
          <w:lang w:val="en-GB"/>
        </w:rPr>
        <w:t xml:space="preserve"> M.Bieb. (known as the Greek juniper, in Ukrainian “яловець високий”), which is categorised as “</w:t>
      </w:r>
      <w:r w:rsidRPr="7A7A869F">
        <w:rPr>
          <w:rFonts w:eastAsia="Calibri"/>
          <w:b/>
          <w:lang w:val="en-GB"/>
        </w:rPr>
        <w:t>vulnerable</w:t>
      </w:r>
      <w:r w:rsidRPr="7A7A869F">
        <w:rPr>
          <w:rFonts w:eastAsia="Calibri"/>
          <w:lang w:val="en-GB"/>
        </w:rPr>
        <w:t>”,</w:t>
      </w:r>
      <w:r w:rsidRPr="7A7A869F">
        <w:rPr>
          <w:rStyle w:val="af6"/>
          <w:rFonts w:eastAsia="Calibri"/>
          <w:lang w:val="en-GB"/>
        </w:rPr>
        <w:footnoteReference w:id="58"/>
      </w:r>
      <w:r w:rsidRPr="7A7A869F">
        <w:rPr>
          <w:rFonts w:eastAsia="Calibri"/>
          <w:lang w:val="en-GB"/>
        </w:rPr>
        <w:t xml:space="preserve"> and </w:t>
      </w:r>
      <w:r w:rsidRPr="7A7A869F">
        <w:rPr>
          <w:rFonts w:eastAsia="Calibri"/>
          <w:i/>
          <w:lang w:val="en-GB"/>
        </w:rPr>
        <w:t>Juniperus foetidissima</w:t>
      </w:r>
      <w:r w:rsidRPr="7A7A869F">
        <w:rPr>
          <w:rFonts w:eastAsia="Calibri"/>
          <w:lang w:val="en-GB"/>
        </w:rPr>
        <w:t xml:space="preserve"> Willd. (commonly known as foetid juniper or stinking juniper, in Ukrainian “яловець смердючий”), which is categorised as “</w:t>
      </w:r>
      <w:r w:rsidRPr="7A7A869F">
        <w:rPr>
          <w:rFonts w:eastAsia="Calibri"/>
          <w:b/>
          <w:lang w:val="en-GB"/>
        </w:rPr>
        <w:t>rare</w:t>
      </w:r>
      <w:r w:rsidRPr="7A7A869F">
        <w:rPr>
          <w:rFonts w:eastAsia="Calibri"/>
          <w:lang w:val="en-GB"/>
        </w:rPr>
        <w:t>”</w:t>
      </w:r>
      <w:r w:rsidRPr="7A7A869F">
        <w:rPr>
          <w:rStyle w:val="af6"/>
          <w:rFonts w:eastAsia="Calibri"/>
          <w:lang w:val="en-GB"/>
        </w:rPr>
        <w:footnoteReference w:id="59"/>
      </w:r>
      <w:r w:rsidRPr="7A7A869F">
        <w:rPr>
          <w:rFonts w:eastAsia="Calibri"/>
          <w:lang w:val="en-GB"/>
        </w:rPr>
        <w:t xml:space="preserve">. Rare species are those whose population is low, and there is a risk of their </w:t>
      </w:r>
      <w:r w:rsidRPr="7A7A869F">
        <w:rPr>
          <w:rFonts w:eastAsia="Calibri"/>
          <w:lang w:val="en-GB"/>
        </w:rPr>
        <w:lastRenderedPageBreak/>
        <w:t>extinction, although they are not on the list of vulnerable or endangered species;</w:t>
      </w:r>
      <w:r w:rsidRPr="7A7A869F">
        <w:rPr>
          <w:rStyle w:val="af6"/>
          <w:rFonts w:eastAsia="Calibri"/>
          <w:lang w:val="en-GB"/>
        </w:rPr>
        <w:footnoteReference w:id="60"/>
      </w:r>
      <w:r w:rsidRPr="7A7A869F">
        <w:rPr>
          <w:rFonts w:eastAsia="Calibri"/>
          <w:lang w:val="en-GB"/>
        </w:rPr>
        <w:t xml:space="preserve"> and</w:t>
      </w:r>
    </w:p>
    <w:p w14:paraId="184DD6D8" w14:textId="252AC114" w:rsidR="00B572FE" w:rsidRPr="003F63A1" w:rsidRDefault="00B572FE" w:rsidP="00B572FE">
      <w:pPr>
        <w:pStyle w:val="a3"/>
        <w:numPr>
          <w:ilvl w:val="1"/>
          <w:numId w:val="19"/>
        </w:numPr>
        <w:spacing w:after="120" w:line="360" w:lineRule="auto"/>
        <w:rPr>
          <w:rFonts w:asciiTheme="minorHAnsi" w:eastAsiaTheme="minorEastAsia" w:hAnsiTheme="minorHAnsi" w:cstheme="minorBidi"/>
          <w:b/>
          <w:szCs w:val="26"/>
          <w:lang w:val="en-GB"/>
        </w:rPr>
      </w:pPr>
      <w:r w:rsidRPr="7A7A869F">
        <w:rPr>
          <w:rFonts w:eastAsia="Calibri"/>
          <w:lang w:val="en-GB"/>
        </w:rPr>
        <w:t xml:space="preserve">One species of </w:t>
      </w:r>
      <w:r w:rsidRPr="7A7A869F">
        <w:rPr>
          <w:rFonts w:eastAsia="Calibri"/>
          <w:b/>
          <w:lang w:val="en-GB"/>
        </w:rPr>
        <w:t>cherry trees</w:t>
      </w:r>
      <w:r w:rsidRPr="7A7A869F">
        <w:rPr>
          <w:rFonts w:eastAsia="Calibri"/>
          <w:lang w:val="en-GB"/>
        </w:rPr>
        <w:t xml:space="preserve"> (in Ukrainian “вишня”), namely </w:t>
      </w:r>
      <w:r w:rsidRPr="7A7A869F">
        <w:rPr>
          <w:rFonts w:eastAsia="Calibri"/>
          <w:i/>
          <w:lang w:val="en-GB"/>
        </w:rPr>
        <w:t>Cerasus klokovii</w:t>
      </w:r>
      <w:r w:rsidRPr="7A7A869F">
        <w:rPr>
          <w:rFonts w:eastAsia="Calibri"/>
          <w:lang w:val="en-GB"/>
        </w:rPr>
        <w:t xml:space="preserve"> Sobko (</w:t>
      </w:r>
      <w:r w:rsidRPr="7A7A869F">
        <w:rPr>
          <w:rFonts w:eastAsia="Calibri"/>
          <w:i/>
          <w:lang w:val="en-GB"/>
        </w:rPr>
        <w:t>C. fruticosa auct.</w:t>
      </w:r>
      <w:r w:rsidRPr="7A7A869F">
        <w:rPr>
          <w:rFonts w:eastAsia="Calibri"/>
          <w:lang w:val="en-GB"/>
        </w:rPr>
        <w:t xml:space="preserve"> non (Pall.) Woronow, </w:t>
      </w:r>
      <w:r w:rsidRPr="7A7A869F">
        <w:rPr>
          <w:rFonts w:eastAsia="Calibri"/>
          <w:i/>
          <w:lang w:val="en-GB"/>
        </w:rPr>
        <w:t>Prunus fruticosa</w:t>
      </w:r>
      <w:r w:rsidRPr="7A7A869F">
        <w:rPr>
          <w:rFonts w:eastAsia="Calibri"/>
          <w:lang w:val="en-GB"/>
        </w:rPr>
        <w:t xml:space="preserve"> auct. non Pall.) (known as the Mongolian cherry, in Ukrainian it is called “Вишня Клокова”), which is categorised as </w:t>
      </w:r>
      <w:r w:rsidR="1F4A3503" w:rsidRPr="7A7A869F">
        <w:rPr>
          <w:lang w:val="en-GB"/>
        </w:rPr>
        <w:t>“</w:t>
      </w:r>
      <w:r w:rsidRPr="7A7A869F">
        <w:rPr>
          <w:rFonts w:eastAsia="Calibri"/>
          <w:b/>
          <w:lang w:val="en-GB"/>
        </w:rPr>
        <w:t>vulnerable</w:t>
      </w:r>
      <w:r w:rsidR="1F4A3503" w:rsidRPr="7A7A869F">
        <w:rPr>
          <w:rFonts w:eastAsia="Calibri"/>
          <w:lang w:val="en-GB"/>
        </w:rPr>
        <w:t>”</w:t>
      </w:r>
      <w:r w:rsidRPr="7A7A869F">
        <w:rPr>
          <w:rFonts w:eastAsia="Calibri"/>
          <w:lang w:val="en-GB"/>
        </w:rPr>
        <w:t>.</w:t>
      </w:r>
      <w:r w:rsidRPr="7A7A869F">
        <w:rPr>
          <w:rStyle w:val="af6"/>
          <w:rFonts w:eastAsia="Calibri"/>
          <w:lang w:val="en-GB"/>
        </w:rPr>
        <w:footnoteReference w:id="61"/>
      </w:r>
    </w:p>
    <w:p w14:paraId="7D37EC0A" w14:textId="2CAB10FD" w:rsidR="00B572FE" w:rsidRPr="0055296E" w:rsidRDefault="00B572FE" w:rsidP="00B572FE">
      <w:pPr>
        <w:pStyle w:val="Paragraphenumrot"/>
        <w:numPr>
          <w:ilvl w:val="0"/>
          <w:numId w:val="19"/>
        </w:numPr>
        <w:tabs>
          <w:tab w:val="left" w:pos="720"/>
        </w:tabs>
        <w:spacing w:before="0" w:line="360" w:lineRule="auto"/>
        <w:rPr>
          <w:sz w:val="26"/>
          <w:szCs w:val="26"/>
          <w:lang w:val="en-GB"/>
        </w:rPr>
      </w:pPr>
      <w:bookmarkStart w:id="58" w:name="_Ref52362663"/>
      <w:r w:rsidRPr="003F63A1">
        <w:rPr>
          <w:sz w:val="26"/>
          <w:szCs w:val="26"/>
          <w:lang w:val="en-GB"/>
        </w:rPr>
        <w:t xml:space="preserve">According to Article 70 of the Forest Code of Ukraine </w:t>
      </w:r>
      <w:r w:rsidRPr="003F63A1">
        <w:rPr>
          <w:i/>
          <w:iCs/>
          <w:sz w:val="26"/>
          <w:szCs w:val="26"/>
          <w:lang w:val="en-GB"/>
        </w:rPr>
        <w:t xml:space="preserve">“[d]uring timber harvesting [it] is not allowed [to] fell[] and damage []: </w:t>
      </w:r>
      <w:r w:rsidRPr="003F63A1">
        <w:rPr>
          <w:b/>
          <w:bCs w:val="0"/>
          <w:i/>
          <w:iCs/>
          <w:sz w:val="26"/>
          <w:szCs w:val="26"/>
          <w:lang w:val="en-GB"/>
        </w:rPr>
        <w:t>valuable and rare trees</w:t>
      </w:r>
      <w:r w:rsidRPr="003F63A1">
        <w:rPr>
          <w:i/>
          <w:iCs/>
          <w:sz w:val="26"/>
          <w:szCs w:val="26"/>
          <w:lang w:val="en-GB"/>
        </w:rPr>
        <w:t xml:space="preserve"> and shrubs listed in the Red Book of Ukraine”</w:t>
      </w:r>
      <w:r w:rsidRPr="003F63A1">
        <w:rPr>
          <w:sz w:val="26"/>
          <w:szCs w:val="26"/>
          <w:lang w:val="en-GB"/>
        </w:rPr>
        <w:t>.</w:t>
      </w:r>
      <w:r w:rsidRPr="003F63A1">
        <w:rPr>
          <w:rStyle w:val="af6"/>
          <w:sz w:val="26"/>
          <w:szCs w:val="26"/>
          <w:lang w:val="en-GB"/>
        </w:rPr>
        <w:footnoteReference w:id="62"/>
      </w:r>
      <w:r w:rsidRPr="003F63A1">
        <w:rPr>
          <w:sz w:val="26"/>
          <w:szCs w:val="26"/>
          <w:lang w:val="en-GB"/>
        </w:rPr>
        <w:t xml:space="preserve"> This means that regardless of whether logging is carried out by way of (i) final felling operations (the main type of felling of industrial nature) or (ii) various types of forest formation and forest rehabilitation felling (this kind of felling is of non-industrial felling), felling of these trees is prohibited.</w:t>
      </w:r>
      <w:bookmarkEnd w:id="58"/>
    </w:p>
    <w:p w14:paraId="65673816" w14:textId="77777777" w:rsidR="00B572FE" w:rsidRPr="003F63A1" w:rsidRDefault="00B572FE" w:rsidP="00B572FE">
      <w:pPr>
        <w:pStyle w:val="Paragraphenumrot"/>
        <w:numPr>
          <w:ilvl w:val="0"/>
          <w:numId w:val="19"/>
        </w:numPr>
        <w:tabs>
          <w:tab w:val="left" w:pos="720"/>
        </w:tabs>
        <w:spacing w:before="0" w:line="360" w:lineRule="auto"/>
        <w:rPr>
          <w:sz w:val="26"/>
          <w:szCs w:val="26"/>
          <w:lang w:val="en-GB"/>
        </w:rPr>
      </w:pPr>
      <w:r w:rsidRPr="003F63A1">
        <w:rPr>
          <w:sz w:val="26"/>
          <w:szCs w:val="26"/>
          <w:lang w:val="en-GB"/>
        </w:rPr>
        <w:t xml:space="preserve">This kind of prohibition is not new, i.e. it has not been introduced for the first time when the Forest Code of Ukraine was totally restated in 2006. According to old Article 59 of the Forest Code of Ukraine of 1994 and the </w:t>
      </w:r>
      <w:r w:rsidRPr="003F63A1">
        <w:rPr>
          <w:i/>
          <w:iCs/>
          <w:sz w:val="26"/>
          <w:szCs w:val="26"/>
          <w:lang w:val="en-GB"/>
        </w:rPr>
        <w:t>Rules for Final Felling Operations in the Forests of Ukraine</w:t>
      </w:r>
      <w:r w:rsidRPr="003F63A1">
        <w:rPr>
          <w:rStyle w:val="af6"/>
          <w:sz w:val="26"/>
          <w:szCs w:val="26"/>
          <w:lang w:val="en-GB"/>
        </w:rPr>
        <w:footnoteReference w:id="63"/>
      </w:r>
      <w:r w:rsidRPr="003F63A1">
        <w:rPr>
          <w:sz w:val="26"/>
          <w:szCs w:val="26"/>
          <w:lang w:val="en-GB"/>
        </w:rPr>
        <w:t xml:space="preserve">, it was prohibited, inter alia, to harvest timber </w:t>
      </w:r>
      <w:r w:rsidRPr="003F63A1">
        <w:rPr>
          <w:sz w:val="26"/>
          <w:szCs w:val="26"/>
          <w:u w:val="single"/>
          <w:lang w:val="en-GB"/>
        </w:rPr>
        <w:t>by way of final felling operations</w:t>
      </w:r>
      <w:r w:rsidRPr="003F63A1">
        <w:rPr>
          <w:sz w:val="26"/>
          <w:szCs w:val="26"/>
          <w:lang w:val="en-GB"/>
        </w:rPr>
        <w:t xml:space="preserve"> from valuable and rare wood and shrubs species that were to be conserved pursuant to the Rules for Stump Timber Production in the Forests of Ukraine, i.e., those species that were on the list of the Red Book of Ukraine. This means that such species could be cut down during various forest management activities not related to industrial timber harvesting if there was a good reason to do so.</w:t>
      </w:r>
    </w:p>
    <w:p w14:paraId="43DF98F5" w14:textId="77777777" w:rsidR="00B572FE" w:rsidRPr="003F63A1" w:rsidRDefault="00B572FE" w:rsidP="00B572FE">
      <w:pPr>
        <w:pStyle w:val="Paragraphenumrot"/>
        <w:numPr>
          <w:ilvl w:val="0"/>
          <w:numId w:val="19"/>
        </w:numPr>
        <w:tabs>
          <w:tab w:val="left" w:pos="720"/>
        </w:tabs>
        <w:spacing w:before="0" w:line="360" w:lineRule="auto"/>
        <w:rPr>
          <w:sz w:val="26"/>
          <w:szCs w:val="26"/>
          <w:lang w:val="en-GB"/>
        </w:rPr>
      </w:pPr>
      <w:r w:rsidRPr="003F63A1">
        <w:rPr>
          <w:rFonts w:eastAsia="Calibri"/>
          <w:iCs/>
          <w:sz w:val="26"/>
          <w:szCs w:val="26"/>
          <w:lang w:val="en-GB"/>
        </w:rPr>
        <w:lastRenderedPageBreak/>
        <w:t xml:space="preserve">In 1996, </w:t>
      </w:r>
      <w:r w:rsidRPr="003F63A1">
        <w:rPr>
          <w:rFonts w:eastAsia="Calibri"/>
          <w:i/>
          <w:sz w:val="26"/>
          <w:szCs w:val="26"/>
          <w:lang w:val="en-GB"/>
        </w:rPr>
        <w:t>Cerasus klokovii</w:t>
      </w:r>
      <w:r w:rsidRPr="003F63A1">
        <w:rPr>
          <w:rFonts w:eastAsia="Calibri"/>
          <w:iCs/>
          <w:sz w:val="26"/>
          <w:szCs w:val="26"/>
          <w:lang w:val="en-GB"/>
        </w:rPr>
        <w:t xml:space="preserve"> Sobko, </w:t>
      </w:r>
      <w:r w:rsidRPr="003F63A1">
        <w:rPr>
          <w:rFonts w:eastAsia="Calibri"/>
          <w:i/>
          <w:sz w:val="26"/>
          <w:szCs w:val="26"/>
          <w:lang w:val="en-GB"/>
        </w:rPr>
        <w:t>Juniperus foetidissima</w:t>
      </w:r>
      <w:r w:rsidRPr="003F63A1">
        <w:rPr>
          <w:rFonts w:eastAsia="Calibri"/>
          <w:iCs/>
          <w:sz w:val="26"/>
          <w:szCs w:val="26"/>
          <w:lang w:val="en-GB"/>
        </w:rPr>
        <w:t xml:space="preserve"> Willd.,</w:t>
      </w:r>
      <w:r w:rsidRPr="003F63A1">
        <w:rPr>
          <w:rFonts w:eastAsia="Calibri"/>
          <w:i/>
          <w:sz w:val="26"/>
          <w:szCs w:val="26"/>
          <w:lang w:val="en-GB"/>
        </w:rPr>
        <w:t xml:space="preserve"> Juniperus excelsa</w:t>
      </w:r>
      <w:r w:rsidRPr="003F63A1">
        <w:rPr>
          <w:rFonts w:eastAsia="Calibri"/>
          <w:iCs/>
          <w:sz w:val="26"/>
          <w:szCs w:val="26"/>
          <w:lang w:val="en-GB"/>
        </w:rPr>
        <w:t xml:space="preserve"> M.Bieb. and </w:t>
      </w:r>
      <w:r w:rsidRPr="003F63A1">
        <w:rPr>
          <w:rFonts w:eastAsia="Calibri"/>
          <w:i/>
          <w:sz w:val="26"/>
          <w:szCs w:val="26"/>
          <w:lang w:val="en-GB"/>
        </w:rPr>
        <w:t xml:space="preserve">Taxus baccata </w:t>
      </w:r>
      <w:r w:rsidRPr="003F63A1">
        <w:rPr>
          <w:rFonts w:eastAsia="Calibri"/>
          <w:iCs/>
          <w:sz w:val="26"/>
          <w:szCs w:val="26"/>
          <w:lang w:val="en-GB"/>
        </w:rPr>
        <w:t>L. were on the list of the 2</w:t>
      </w:r>
      <w:r w:rsidRPr="003F63A1">
        <w:rPr>
          <w:rFonts w:eastAsia="Calibri"/>
          <w:iCs/>
          <w:sz w:val="26"/>
          <w:szCs w:val="26"/>
          <w:vertAlign w:val="superscript"/>
          <w:lang w:val="en-GB"/>
        </w:rPr>
        <w:t>nd</w:t>
      </w:r>
      <w:r w:rsidRPr="003F63A1">
        <w:rPr>
          <w:rFonts w:eastAsia="Calibri"/>
          <w:iCs/>
          <w:sz w:val="26"/>
          <w:szCs w:val="26"/>
          <w:lang w:val="en-GB"/>
        </w:rPr>
        <w:t xml:space="preserve"> edition of the Red Book of Ukraine, while </w:t>
      </w:r>
      <w:r w:rsidRPr="003F63A1">
        <w:rPr>
          <w:rFonts w:eastAsia="Calibri"/>
          <w:i/>
          <w:sz w:val="26"/>
          <w:szCs w:val="26"/>
          <w:lang w:val="en-GB"/>
        </w:rPr>
        <w:t xml:space="preserve">Sorbus torminalis </w:t>
      </w:r>
      <w:r w:rsidRPr="003F63A1">
        <w:rPr>
          <w:rFonts w:eastAsia="Calibri"/>
          <w:iCs/>
          <w:sz w:val="26"/>
          <w:szCs w:val="26"/>
          <w:lang w:val="en-GB"/>
        </w:rPr>
        <w:t>(L.) Crantz was not put on the Red Book until 2009. This shows that if the current total prohibition to fell the Red Book trees were in force in the 1990s, checker trees, hypothetically, might not have been included into the 2009 Red Book.</w:t>
      </w:r>
    </w:p>
    <w:p w14:paraId="73FBB73B" w14:textId="39B7965F" w:rsidR="00B572FE" w:rsidRPr="003F63A1" w:rsidRDefault="00B572FE" w:rsidP="00B572FE">
      <w:pPr>
        <w:pStyle w:val="Paragraphenumrot"/>
        <w:numPr>
          <w:ilvl w:val="0"/>
          <w:numId w:val="19"/>
        </w:numPr>
        <w:tabs>
          <w:tab w:val="left" w:pos="720"/>
        </w:tabs>
        <w:spacing w:before="0" w:line="360" w:lineRule="auto"/>
        <w:rPr>
          <w:sz w:val="26"/>
          <w:szCs w:val="26"/>
          <w:lang w:val="en-GB"/>
        </w:rPr>
      </w:pPr>
      <w:r w:rsidRPr="003F63A1">
        <w:rPr>
          <w:rFonts w:eastAsia="Calibri"/>
          <w:iCs/>
          <w:sz w:val="26"/>
          <w:szCs w:val="26"/>
          <w:lang w:val="en-GB"/>
        </w:rPr>
        <w:t>The effectiveness of the total prohibition of felling the Red Book trees introduced in 2006 is hard to evaluate for the reason that the 4</w:t>
      </w:r>
      <w:r w:rsidRPr="003F63A1">
        <w:rPr>
          <w:rFonts w:eastAsia="Calibri"/>
          <w:iCs/>
          <w:sz w:val="26"/>
          <w:szCs w:val="26"/>
          <w:vertAlign w:val="superscript"/>
          <w:lang w:val="en-GB"/>
        </w:rPr>
        <w:t>th</w:t>
      </w:r>
      <w:r w:rsidRPr="003F63A1">
        <w:rPr>
          <w:rFonts w:eastAsia="Calibri"/>
          <w:iCs/>
          <w:sz w:val="26"/>
          <w:szCs w:val="26"/>
          <w:lang w:val="en-GB"/>
        </w:rPr>
        <w:t xml:space="preserve"> edition of the Red Book of Ukraine has not been published yet.</w:t>
      </w:r>
      <w:r w:rsidRPr="003F63A1">
        <w:rPr>
          <w:rStyle w:val="af6"/>
          <w:rFonts w:eastAsia="Calibri"/>
          <w:iCs/>
          <w:sz w:val="26"/>
          <w:szCs w:val="26"/>
          <w:lang w:val="en-GB"/>
        </w:rPr>
        <w:footnoteReference w:id="64"/>
      </w:r>
      <w:r w:rsidRPr="003F63A1">
        <w:rPr>
          <w:rFonts w:eastAsia="Calibri"/>
          <w:iCs/>
          <w:sz w:val="26"/>
          <w:szCs w:val="26"/>
          <w:lang w:val="en-GB"/>
        </w:rPr>
        <w:t xml:space="preserve"> The adoption of the 4</w:t>
      </w:r>
      <w:r w:rsidRPr="003F63A1">
        <w:rPr>
          <w:rFonts w:eastAsia="Calibri"/>
          <w:iCs/>
          <w:sz w:val="26"/>
          <w:szCs w:val="26"/>
          <w:vertAlign w:val="superscript"/>
          <w:lang w:val="en-GB"/>
        </w:rPr>
        <w:t>th</w:t>
      </w:r>
      <w:r w:rsidRPr="003F63A1">
        <w:rPr>
          <w:rFonts w:eastAsia="Calibri"/>
          <w:iCs/>
          <w:sz w:val="26"/>
          <w:szCs w:val="26"/>
          <w:lang w:val="en-GB"/>
        </w:rPr>
        <w:t xml:space="preserve"> edition could have shed light on whether the population of the above listed Red Book trees has increased categorising such wood species into less vulnerable categories or excluding them from the Red Book at all.</w:t>
      </w:r>
    </w:p>
    <w:p w14:paraId="2B6D0C08" w14:textId="30D0497D" w:rsidR="00B95F26" w:rsidRPr="003F63A1" w:rsidRDefault="00B95F26" w:rsidP="00B572FE">
      <w:pPr>
        <w:pStyle w:val="Paragraphenumrot"/>
        <w:numPr>
          <w:ilvl w:val="0"/>
          <w:numId w:val="19"/>
        </w:numPr>
        <w:tabs>
          <w:tab w:val="left" w:pos="720"/>
        </w:tabs>
        <w:spacing w:before="0" w:line="360" w:lineRule="auto"/>
        <w:rPr>
          <w:sz w:val="26"/>
          <w:szCs w:val="26"/>
          <w:lang w:val="en-GB"/>
        </w:rPr>
      </w:pPr>
      <w:r w:rsidRPr="003F63A1">
        <w:rPr>
          <w:sz w:val="26"/>
          <w:szCs w:val="26"/>
          <w:lang w:val="en-GB"/>
        </w:rPr>
        <w:t>To assist the Arbitration Panel, Ukraine has made necessary analysis and provides the comparative schedule showing whether any of the 10 valuable and rare wood species and/or genus of species covered by the so-called “2005 export ban” are included in any of the three CITES Appendices or the IUCN Red List.</w:t>
      </w:r>
    </w:p>
    <w:p w14:paraId="62B97D25" w14:textId="77777777" w:rsidR="000A2150" w:rsidRPr="003F63A1" w:rsidRDefault="000A2150" w:rsidP="003248E5">
      <w:pPr>
        <w:pStyle w:val="Paragraphenumrot"/>
        <w:numPr>
          <w:ilvl w:val="0"/>
          <w:numId w:val="0"/>
        </w:numPr>
        <w:tabs>
          <w:tab w:val="left" w:pos="720"/>
        </w:tabs>
        <w:spacing w:before="0" w:line="360" w:lineRule="auto"/>
        <w:ind w:left="720" w:hanging="720"/>
        <w:rPr>
          <w:sz w:val="26"/>
          <w:szCs w:val="26"/>
          <w:lang w:val="en-GB"/>
        </w:rPr>
        <w:sectPr w:rsidR="000A2150" w:rsidRPr="003F63A1" w:rsidSect="00921E52">
          <w:footerReference w:type="first" r:id="rId23"/>
          <w:pgSz w:w="11906" w:h="16838"/>
          <w:pgMar w:top="1417" w:right="1417" w:bottom="1134" w:left="1417" w:header="708" w:footer="708" w:gutter="0"/>
          <w:pgNumType w:start="1"/>
          <w:cols w:space="708"/>
          <w:titlePg/>
          <w:docGrid w:linePitch="360"/>
        </w:sectPr>
      </w:pPr>
    </w:p>
    <w:tbl>
      <w:tblPr>
        <w:tblW w:w="1473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52"/>
        <w:gridCol w:w="1134"/>
        <w:gridCol w:w="1192"/>
        <w:gridCol w:w="2069"/>
        <w:gridCol w:w="1459"/>
        <w:gridCol w:w="1518"/>
        <w:gridCol w:w="1133"/>
        <w:gridCol w:w="3970"/>
        <w:gridCol w:w="1701"/>
        <w:gridCol w:w="8"/>
      </w:tblGrid>
      <w:tr w:rsidR="000A2150" w:rsidRPr="00C75695" w14:paraId="7CFF3515" w14:textId="77777777" w:rsidTr="00FA3207">
        <w:trPr>
          <w:trHeight w:val="300"/>
        </w:trPr>
        <w:tc>
          <w:tcPr>
            <w:tcW w:w="552" w:type="dxa"/>
            <w:shd w:val="clear" w:color="auto" w:fill="76923C"/>
          </w:tcPr>
          <w:p w14:paraId="1610940C" w14:textId="77777777" w:rsidR="000A2150" w:rsidRPr="00C75695" w:rsidRDefault="000A2150" w:rsidP="00FA3207">
            <w:pPr>
              <w:rPr>
                <w:b/>
                <w:bCs/>
                <w:color w:val="FFFFFF" w:themeColor="background1"/>
                <w:sz w:val="16"/>
                <w:szCs w:val="16"/>
                <w:lang w:val="en-GB" w:eastAsia="en-GB"/>
              </w:rPr>
            </w:pPr>
          </w:p>
        </w:tc>
        <w:tc>
          <w:tcPr>
            <w:tcW w:w="4395" w:type="dxa"/>
            <w:gridSpan w:val="3"/>
            <w:shd w:val="clear" w:color="auto" w:fill="76923C"/>
            <w:noWrap/>
            <w:vAlign w:val="bottom"/>
          </w:tcPr>
          <w:p w14:paraId="150C5778"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Valuable and rare wood species (genus of species) covered by the so-called “2005 export ban”</w:t>
            </w:r>
          </w:p>
        </w:tc>
        <w:tc>
          <w:tcPr>
            <w:tcW w:w="2977" w:type="dxa"/>
            <w:gridSpan w:val="2"/>
            <w:shd w:val="clear" w:color="auto" w:fill="76923C"/>
          </w:tcPr>
          <w:p w14:paraId="15845889"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The2009 Red Book of Ukraine</w:t>
            </w:r>
          </w:p>
        </w:tc>
        <w:tc>
          <w:tcPr>
            <w:tcW w:w="1133" w:type="dxa"/>
            <w:shd w:val="clear" w:color="auto" w:fill="76923C"/>
          </w:tcPr>
          <w:p w14:paraId="11452D41"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CITES Appendices</w:t>
            </w:r>
            <w:r w:rsidRPr="00C75695">
              <w:rPr>
                <w:rStyle w:val="af6"/>
                <w:b/>
                <w:bCs/>
                <w:color w:val="FFFFFF" w:themeColor="background1"/>
                <w:sz w:val="16"/>
                <w:szCs w:val="16"/>
                <w:lang w:val="en-GB" w:eastAsia="en-GB"/>
              </w:rPr>
              <w:footnoteReference w:id="65"/>
            </w:r>
          </w:p>
        </w:tc>
        <w:tc>
          <w:tcPr>
            <w:tcW w:w="5679" w:type="dxa"/>
            <w:gridSpan w:val="3"/>
            <w:shd w:val="clear" w:color="auto" w:fill="76923C"/>
          </w:tcPr>
          <w:p w14:paraId="25E5D3E8"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IUCN Red List</w:t>
            </w:r>
            <w:r w:rsidRPr="00C75695">
              <w:rPr>
                <w:rStyle w:val="af6"/>
                <w:b/>
                <w:bCs/>
                <w:color w:val="FFFFFF" w:themeColor="background1"/>
                <w:sz w:val="16"/>
                <w:szCs w:val="16"/>
                <w:lang w:val="en-GB" w:eastAsia="en-GB"/>
              </w:rPr>
              <w:footnoteReference w:id="66"/>
            </w:r>
          </w:p>
        </w:tc>
      </w:tr>
      <w:tr w:rsidR="000A2150" w:rsidRPr="00C75695" w14:paraId="61D9D948" w14:textId="77777777" w:rsidTr="00FA3207">
        <w:trPr>
          <w:gridAfter w:val="1"/>
          <w:wAfter w:w="8" w:type="dxa"/>
          <w:trHeight w:val="300"/>
        </w:trPr>
        <w:tc>
          <w:tcPr>
            <w:tcW w:w="552" w:type="dxa"/>
            <w:shd w:val="clear" w:color="auto" w:fill="76923C"/>
          </w:tcPr>
          <w:p w14:paraId="65A4639B" w14:textId="77777777" w:rsidR="000A2150" w:rsidRPr="00C75695" w:rsidRDefault="000A2150" w:rsidP="00FA3207">
            <w:pPr>
              <w:rPr>
                <w:b/>
                <w:bCs/>
                <w:color w:val="FFFFFF" w:themeColor="background1"/>
                <w:sz w:val="16"/>
                <w:szCs w:val="16"/>
                <w:lang w:val="en-GB" w:eastAsia="en-GB"/>
              </w:rPr>
            </w:pPr>
          </w:p>
        </w:tc>
        <w:tc>
          <w:tcPr>
            <w:tcW w:w="1134" w:type="dxa"/>
            <w:tcBorders>
              <w:right w:val="single" w:sz="4" w:space="0" w:color="auto"/>
            </w:tcBorders>
            <w:shd w:val="clear" w:color="auto" w:fill="76923C"/>
            <w:noWrap/>
            <w:vAlign w:val="bottom"/>
          </w:tcPr>
          <w:p w14:paraId="6E8E309C"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Name in Ukrainian</w:t>
            </w:r>
            <w:r w:rsidRPr="00C75695">
              <w:rPr>
                <w:rStyle w:val="af6"/>
                <w:b/>
                <w:bCs/>
                <w:color w:val="FFFFFF" w:themeColor="background1"/>
                <w:sz w:val="16"/>
                <w:szCs w:val="16"/>
                <w:lang w:val="en-GB" w:eastAsia="en-GB"/>
              </w:rPr>
              <w:footnoteReference w:id="67"/>
            </w:r>
          </w:p>
        </w:tc>
        <w:tc>
          <w:tcPr>
            <w:tcW w:w="1192" w:type="dxa"/>
            <w:tcBorders>
              <w:left w:val="single" w:sz="4" w:space="0" w:color="auto"/>
              <w:right w:val="single" w:sz="4" w:space="0" w:color="auto"/>
            </w:tcBorders>
            <w:shd w:val="clear" w:color="auto" w:fill="76923C"/>
            <w:vAlign w:val="bottom"/>
          </w:tcPr>
          <w:p w14:paraId="5FEBC1D0"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Name in English</w:t>
            </w:r>
            <w:r w:rsidRPr="00C75695">
              <w:rPr>
                <w:rStyle w:val="af6"/>
                <w:b/>
                <w:bCs/>
                <w:color w:val="FFFFFF" w:themeColor="background1"/>
                <w:sz w:val="16"/>
                <w:szCs w:val="16"/>
                <w:lang w:val="en-GB" w:eastAsia="en-GB"/>
              </w:rPr>
              <w:footnoteReference w:id="68"/>
            </w:r>
          </w:p>
        </w:tc>
        <w:tc>
          <w:tcPr>
            <w:tcW w:w="2069" w:type="dxa"/>
            <w:tcBorders>
              <w:left w:val="single" w:sz="4" w:space="0" w:color="auto"/>
            </w:tcBorders>
            <w:shd w:val="clear" w:color="auto" w:fill="76923C"/>
            <w:vAlign w:val="bottom"/>
          </w:tcPr>
          <w:p w14:paraId="72772D30"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Binominal name</w:t>
            </w:r>
          </w:p>
        </w:tc>
        <w:tc>
          <w:tcPr>
            <w:tcW w:w="1459" w:type="dxa"/>
            <w:shd w:val="clear" w:color="auto" w:fill="76923C"/>
          </w:tcPr>
          <w:p w14:paraId="610D8877"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Binominal name</w:t>
            </w:r>
          </w:p>
        </w:tc>
        <w:tc>
          <w:tcPr>
            <w:tcW w:w="1518" w:type="dxa"/>
            <w:shd w:val="clear" w:color="auto" w:fill="76923C"/>
          </w:tcPr>
          <w:p w14:paraId="5F392B26"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Category of Extinction Risk</w:t>
            </w:r>
          </w:p>
        </w:tc>
        <w:tc>
          <w:tcPr>
            <w:tcW w:w="1133" w:type="dxa"/>
            <w:shd w:val="clear" w:color="auto" w:fill="76923C"/>
          </w:tcPr>
          <w:p w14:paraId="2F393C8E"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Binominal name</w:t>
            </w:r>
          </w:p>
        </w:tc>
        <w:tc>
          <w:tcPr>
            <w:tcW w:w="3970" w:type="dxa"/>
            <w:shd w:val="clear" w:color="auto" w:fill="76923C"/>
          </w:tcPr>
          <w:p w14:paraId="41D4CEB4"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Binominal name (name)</w:t>
            </w:r>
          </w:p>
        </w:tc>
        <w:tc>
          <w:tcPr>
            <w:tcW w:w="1701" w:type="dxa"/>
            <w:shd w:val="clear" w:color="auto" w:fill="76923C"/>
          </w:tcPr>
          <w:p w14:paraId="1C0AB54C" w14:textId="77777777" w:rsidR="000A2150" w:rsidRPr="00C75695" w:rsidRDefault="000A2150" w:rsidP="00FA3207">
            <w:pPr>
              <w:rPr>
                <w:b/>
                <w:bCs/>
                <w:color w:val="FFFFFF" w:themeColor="background1"/>
                <w:sz w:val="16"/>
                <w:szCs w:val="16"/>
                <w:lang w:val="en-GB" w:eastAsia="en-GB"/>
              </w:rPr>
            </w:pPr>
            <w:r w:rsidRPr="00C75695">
              <w:rPr>
                <w:b/>
                <w:bCs/>
                <w:color w:val="FFFFFF" w:themeColor="background1"/>
                <w:sz w:val="16"/>
                <w:szCs w:val="16"/>
                <w:lang w:val="en-GB" w:eastAsia="en-GB"/>
              </w:rPr>
              <w:t>Category of Extinction Risk</w:t>
            </w:r>
            <w:r w:rsidRPr="00C75695">
              <w:rPr>
                <w:rStyle w:val="af6"/>
                <w:b/>
                <w:bCs/>
                <w:color w:val="FFFFFF" w:themeColor="background1"/>
                <w:sz w:val="16"/>
                <w:szCs w:val="16"/>
                <w:lang w:val="en-GB" w:eastAsia="en-GB"/>
              </w:rPr>
              <w:footnoteReference w:id="69"/>
            </w:r>
          </w:p>
        </w:tc>
      </w:tr>
      <w:tr w:rsidR="000A2150" w:rsidRPr="00C75695" w14:paraId="0C6F0AE3" w14:textId="77777777" w:rsidTr="00FA3207">
        <w:trPr>
          <w:gridAfter w:val="1"/>
          <w:wAfter w:w="8" w:type="dxa"/>
          <w:trHeight w:val="250"/>
        </w:trPr>
        <w:tc>
          <w:tcPr>
            <w:tcW w:w="552" w:type="dxa"/>
            <w:shd w:val="clear" w:color="auto" w:fill="EAF1DD"/>
          </w:tcPr>
          <w:p w14:paraId="7D719397"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1.</w:t>
            </w:r>
          </w:p>
        </w:tc>
        <w:tc>
          <w:tcPr>
            <w:tcW w:w="1134" w:type="dxa"/>
            <w:tcBorders>
              <w:right w:val="single" w:sz="4" w:space="0" w:color="auto"/>
            </w:tcBorders>
            <w:shd w:val="clear" w:color="auto" w:fill="EAF1DD"/>
            <w:noWrap/>
            <w:vAlign w:val="center"/>
          </w:tcPr>
          <w:p w14:paraId="09381267"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акація</w:t>
            </w:r>
          </w:p>
        </w:tc>
        <w:tc>
          <w:tcPr>
            <w:tcW w:w="1192" w:type="dxa"/>
            <w:tcBorders>
              <w:left w:val="single" w:sz="4" w:space="0" w:color="auto"/>
              <w:right w:val="single" w:sz="4" w:space="0" w:color="auto"/>
            </w:tcBorders>
            <w:shd w:val="clear" w:color="auto" w:fill="EAF1DD"/>
            <w:vAlign w:val="center"/>
          </w:tcPr>
          <w:p w14:paraId="4726A759"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acacia</w:t>
            </w:r>
          </w:p>
        </w:tc>
        <w:tc>
          <w:tcPr>
            <w:tcW w:w="2069" w:type="dxa"/>
            <w:tcBorders>
              <w:left w:val="single" w:sz="4" w:space="0" w:color="auto"/>
            </w:tcBorders>
            <w:shd w:val="clear" w:color="auto" w:fill="EAF1DD"/>
            <w:vAlign w:val="bottom"/>
          </w:tcPr>
          <w:p w14:paraId="30EEE86F"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Acacia </w:t>
            </w:r>
            <w:r w:rsidRPr="00C75695">
              <w:rPr>
                <w:color w:val="000000"/>
                <w:sz w:val="16"/>
                <w:szCs w:val="16"/>
                <w:lang w:val="en-GB" w:eastAsia="en-GB"/>
              </w:rPr>
              <w:t>Mill.</w:t>
            </w:r>
            <w:r w:rsidRPr="00C75695">
              <w:rPr>
                <w:color w:val="000000"/>
                <w:sz w:val="16"/>
                <w:szCs w:val="16"/>
                <w:lang w:val="en-GB" w:eastAsia="en-GB"/>
              </w:rPr>
              <w:br/>
            </w:r>
            <w:r w:rsidRPr="00C75695">
              <w:rPr>
                <w:b/>
                <w:bCs/>
                <w:color w:val="000000"/>
                <w:sz w:val="16"/>
                <w:szCs w:val="16"/>
                <w:lang w:val="en-GB" w:eastAsia="en-GB"/>
              </w:rPr>
              <w:t>Genus</w:t>
            </w:r>
          </w:p>
        </w:tc>
        <w:tc>
          <w:tcPr>
            <w:tcW w:w="1459" w:type="dxa"/>
            <w:shd w:val="clear" w:color="auto" w:fill="EAF1DD"/>
          </w:tcPr>
          <w:p w14:paraId="5857C1C4" w14:textId="77777777" w:rsidR="000A2150" w:rsidRPr="00C75695" w:rsidRDefault="000A2150" w:rsidP="00FA3207">
            <w:pPr>
              <w:rPr>
                <w:color w:val="000000"/>
                <w:sz w:val="16"/>
                <w:szCs w:val="16"/>
                <w:lang w:val="en-GB" w:eastAsia="en-GB"/>
              </w:rPr>
            </w:pPr>
          </w:p>
        </w:tc>
        <w:tc>
          <w:tcPr>
            <w:tcW w:w="1518" w:type="dxa"/>
            <w:shd w:val="clear" w:color="auto" w:fill="EAF1DD"/>
          </w:tcPr>
          <w:p w14:paraId="39B15512" w14:textId="77777777" w:rsidR="000A2150" w:rsidRPr="00C75695" w:rsidRDefault="000A2150" w:rsidP="00FA3207">
            <w:pPr>
              <w:rPr>
                <w:color w:val="000000"/>
                <w:sz w:val="16"/>
                <w:szCs w:val="16"/>
                <w:lang w:val="en-GB" w:eastAsia="en-GB"/>
              </w:rPr>
            </w:pPr>
          </w:p>
        </w:tc>
        <w:tc>
          <w:tcPr>
            <w:tcW w:w="1133" w:type="dxa"/>
            <w:shd w:val="clear" w:color="auto" w:fill="EAF1DD"/>
          </w:tcPr>
          <w:p w14:paraId="63195759"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5E38D9EE" w14:textId="77777777" w:rsidR="000A2150" w:rsidRPr="00C75695" w:rsidRDefault="000A2150" w:rsidP="00FA3207">
            <w:pPr>
              <w:rPr>
                <w:color w:val="000000"/>
                <w:sz w:val="16"/>
                <w:szCs w:val="16"/>
                <w:lang w:val="en-GB" w:eastAsia="en-GB"/>
              </w:rPr>
            </w:pPr>
          </w:p>
        </w:tc>
        <w:tc>
          <w:tcPr>
            <w:tcW w:w="1701" w:type="dxa"/>
            <w:shd w:val="clear" w:color="auto" w:fill="EAF1DD"/>
          </w:tcPr>
          <w:p w14:paraId="460D6F2E" w14:textId="77777777" w:rsidR="000A2150" w:rsidRPr="00C75695" w:rsidRDefault="000A2150" w:rsidP="00FA3207">
            <w:pPr>
              <w:rPr>
                <w:color w:val="000000"/>
                <w:sz w:val="16"/>
                <w:szCs w:val="16"/>
                <w:lang w:val="en-GB" w:eastAsia="en-GB"/>
              </w:rPr>
            </w:pPr>
          </w:p>
        </w:tc>
      </w:tr>
      <w:tr w:rsidR="000A2150" w:rsidRPr="00C75695" w14:paraId="2E87CE21" w14:textId="77777777" w:rsidTr="00FA3207">
        <w:trPr>
          <w:gridAfter w:val="1"/>
          <w:wAfter w:w="8" w:type="dxa"/>
          <w:trHeight w:val="240"/>
        </w:trPr>
        <w:tc>
          <w:tcPr>
            <w:tcW w:w="552" w:type="dxa"/>
            <w:shd w:val="clear" w:color="auto" w:fill="EAF1DD"/>
          </w:tcPr>
          <w:p w14:paraId="1B014B68"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2.</w:t>
            </w:r>
          </w:p>
        </w:tc>
        <w:tc>
          <w:tcPr>
            <w:tcW w:w="1134" w:type="dxa"/>
            <w:tcBorders>
              <w:right w:val="single" w:sz="4" w:space="0" w:color="auto"/>
            </w:tcBorders>
            <w:shd w:val="clear" w:color="auto" w:fill="EAF1DD"/>
            <w:noWrap/>
            <w:vAlign w:val="center"/>
          </w:tcPr>
          <w:p w14:paraId="1BB69D50"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берека</w:t>
            </w:r>
          </w:p>
        </w:tc>
        <w:tc>
          <w:tcPr>
            <w:tcW w:w="1192" w:type="dxa"/>
            <w:tcBorders>
              <w:left w:val="single" w:sz="4" w:space="0" w:color="auto"/>
              <w:right w:val="single" w:sz="4" w:space="0" w:color="auto"/>
            </w:tcBorders>
            <w:shd w:val="clear" w:color="auto" w:fill="EAF1DD"/>
            <w:vAlign w:val="center"/>
          </w:tcPr>
          <w:p w14:paraId="47BDD94F"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checker tree / beech</w:t>
            </w:r>
          </w:p>
        </w:tc>
        <w:tc>
          <w:tcPr>
            <w:tcW w:w="2069" w:type="dxa"/>
            <w:tcBorders>
              <w:left w:val="single" w:sz="4" w:space="0" w:color="auto"/>
            </w:tcBorders>
            <w:shd w:val="clear" w:color="auto" w:fill="EAF1DD"/>
            <w:vAlign w:val="bottom"/>
          </w:tcPr>
          <w:p w14:paraId="59467DF8"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Sorbus torminalis </w:t>
            </w:r>
            <w:r w:rsidRPr="00C75695">
              <w:rPr>
                <w:color w:val="000000"/>
                <w:sz w:val="16"/>
                <w:szCs w:val="16"/>
                <w:lang w:val="en-GB" w:eastAsia="en-GB"/>
              </w:rPr>
              <w:t xml:space="preserve">(L.) Crantz </w:t>
            </w:r>
            <w:r w:rsidRPr="00C75695">
              <w:rPr>
                <w:color w:val="000000"/>
                <w:sz w:val="16"/>
                <w:szCs w:val="16"/>
                <w:lang w:val="en-GB" w:eastAsia="en-GB"/>
              </w:rPr>
              <w:br/>
            </w:r>
            <w:r w:rsidRPr="00C75695">
              <w:rPr>
                <w:b/>
                <w:bCs/>
                <w:color w:val="000000"/>
                <w:sz w:val="16"/>
                <w:szCs w:val="16"/>
                <w:lang w:val="en-GB" w:eastAsia="en-GB"/>
              </w:rPr>
              <w:t>Species</w:t>
            </w:r>
          </w:p>
        </w:tc>
        <w:tc>
          <w:tcPr>
            <w:tcW w:w="1459" w:type="dxa"/>
            <w:shd w:val="clear" w:color="auto" w:fill="EAF1DD"/>
          </w:tcPr>
          <w:p w14:paraId="005B7DDF" w14:textId="77777777" w:rsidR="000A2150" w:rsidRPr="00C75695" w:rsidRDefault="000A2150" w:rsidP="00FA3207">
            <w:pPr>
              <w:rPr>
                <w:color w:val="000000"/>
                <w:sz w:val="16"/>
                <w:szCs w:val="16"/>
                <w:lang w:val="en-GB" w:eastAsia="en-GB"/>
              </w:rPr>
            </w:pPr>
            <w:r w:rsidRPr="00C75695">
              <w:rPr>
                <w:rFonts w:eastAsia="Calibri"/>
                <w:i/>
                <w:sz w:val="16"/>
                <w:szCs w:val="16"/>
                <w:lang w:val="en-GB"/>
              </w:rPr>
              <w:t xml:space="preserve">Sorbus torminalis </w:t>
            </w:r>
            <w:r w:rsidRPr="00C75695">
              <w:rPr>
                <w:rFonts w:eastAsia="Calibri"/>
                <w:iCs/>
                <w:sz w:val="16"/>
                <w:szCs w:val="16"/>
                <w:lang w:val="en-GB"/>
              </w:rPr>
              <w:t>(L.) Crantz (</w:t>
            </w:r>
            <w:r w:rsidRPr="00C75695">
              <w:rPr>
                <w:rFonts w:eastAsia="Calibri"/>
                <w:b/>
                <w:bCs/>
                <w:iCs/>
                <w:sz w:val="16"/>
                <w:szCs w:val="16"/>
                <w:lang w:val="en-GB"/>
              </w:rPr>
              <w:t>species</w:t>
            </w:r>
            <w:r w:rsidRPr="00C75695">
              <w:rPr>
                <w:rFonts w:eastAsia="Calibri"/>
                <w:iCs/>
                <w:sz w:val="16"/>
                <w:szCs w:val="16"/>
                <w:lang w:val="en-GB"/>
              </w:rPr>
              <w:t>)</w:t>
            </w:r>
          </w:p>
        </w:tc>
        <w:tc>
          <w:tcPr>
            <w:tcW w:w="1518" w:type="dxa"/>
            <w:shd w:val="clear" w:color="auto" w:fill="EAF1DD"/>
          </w:tcPr>
          <w:p w14:paraId="50F88145"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Unvalued</w:t>
            </w:r>
          </w:p>
        </w:tc>
        <w:tc>
          <w:tcPr>
            <w:tcW w:w="1133" w:type="dxa"/>
            <w:shd w:val="clear" w:color="auto" w:fill="EAF1DD"/>
          </w:tcPr>
          <w:p w14:paraId="688402D1"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2B6CF07B" w14:textId="77777777" w:rsidR="000A2150" w:rsidRPr="00C75695" w:rsidRDefault="000A2150" w:rsidP="00FA3207">
            <w:pPr>
              <w:rPr>
                <w:iCs/>
                <w:color w:val="000000"/>
                <w:sz w:val="16"/>
                <w:szCs w:val="16"/>
                <w:lang w:val="en-GB" w:eastAsia="en-GB"/>
              </w:rPr>
            </w:pPr>
            <w:r w:rsidRPr="00C75695">
              <w:rPr>
                <w:rFonts w:eastAsia="Calibri"/>
                <w:i/>
                <w:sz w:val="16"/>
                <w:szCs w:val="16"/>
                <w:lang w:val="en-GB"/>
              </w:rPr>
              <w:t xml:space="preserve">Sorbus torminalis </w:t>
            </w:r>
            <w:r w:rsidRPr="00C75695">
              <w:rPr>
                <w:rFonts w:eastAsia="Calibri"/>
                <w:iCs/>
                <w:sz w:val="16"/>
                <w:szCs w:val="16"/>
                <w:lang w:val="en-GB"/>
              </w:rPr>
              <w:t>(Wild Service Tree)</w:t>
            </w:r>
          </w:p>
        </w:tc>
        <w:tc>
          <w:tcPr>
            <w:tcW w:w="1701" w:type="dxa"/>
            <w:shd w:val="clear" w:color="auto" w:fill="EAF1DD"/>
          </w:tcPr>
          <w:p w14:paraId="0D526F63"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7DF85C1B" w14:textId="77777777" w:rsidTr="00FA3207">
        <w:trPr>
          <w:gridAfter w:val="1"/>
          <w:wAfter w:w="8" w:type="dxa"/>
          <w:trHeight w:val="272"/>
        </w:trPr>
        <w:tc>
          <w:tcPr>
            <w:tcW w:w="552" w:type="dxa"/>
            <w:shd w:val="clear" w:color="auto" w:fill="EAF1DD"/>
          </w:tcPr>
          <w:p w14:paraId="2AFBA56D"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3.</w:t>
            </w:r>
          </w:p>
        </w:tc>
        <w:tc>
          <w:tcPr>
            <w:tcW w:w="1134" w:type="dxa"/>
            <w:tcBorders>
              <w:right w:val="single" w:sz="4" w:space="0" w:color="auto"/>
            </w:tcBorders>
            <w:shd w:val="clear" w:color="auto" w:fill="EAF1DD"/>
            <w:noWrap/>
            <w:vAlign w:val="center"/>
          </w:tcPr>
          <w:p w14:paraId="13060D7C"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вишня</w:t>
            </w:r>
          </w:p>
        </w:tc>
        <w:tc>
          <w:tcPr>
            <w:tcW w:w="1192" w:type="dxa"/>
            <w:tcBorders>
              <w:left w:val="single" w:sz="4" w:space="0" w:color="auto"/>
              <w:right w:val="single" w:sz="4" w:space="0" w:color="auto"/>
            </w:tcBorders>
            <w:shd w:val="clear" w:color="auto" w:fill="EAF1DD"/>
            <w:vAlign w:val="center"/>
          </w:tcPr>
          <w:p w14:paraId="6A3FFB14"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cherry tree</w:t>
            </w:r>
          </w:p>
        </w:tc>
        <w:tc>
          <w:tcPr>
            <w:tcW w:w="2069" w:type="dxa"/>
            <w:tcBorders>
              <w:left w:val="single" w:sz="4" w:space="0" w:color="auto"/>
            </w:tcBorders>
            <w:shd w:val="clear" w:color="auto" w:fill="EAF1DD"/>
            <w:vAlign w:val="bottom"/>
          </w:tcPr>
          <w:p w14:paraId="33900E7A"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Prunus subg. Cerasus </w:t>
            </w:r>
            <w:r w:rsidRPr="00C75695">
              <w:rPr>
                <w:color w:val="000000"/>
                <w:sz w:val="16"/>
                <w:szCs w:val="16"/>
                <w:lang w:val="en-GB" w:eastAsia="en-GB"/>
              </w:rPr>
              <w:t>Mill.</w:t>
            </w:r>
            <w:r w:rsidRPr="00C75695">
              <w:rPr>
                <w:color w:val="000000"/>
                <w:sz w:val="16"/>
                <w:szCs w:val="16"/>
                <w:lang w:val="en-GB" w:eastAsia="en-GB"/>
              </w:rPr>
              <w:br/>
            </w:r>
            <w:r w:rsidRPr="00C75695">
              <w:rPr>
                <w:b/>
                <w:bCs/>
                <w:color w:val="000000"/>
                <w:sz w:val="16"/>
                <w:szCs w:val="16"/>
                <w:lang w:val="en-GB" w:eastAsia="en-GB"/>
              </w:rPr>
              <w:t>Sub-Genus</w:t>
            </w:r>
          </w:p>
        </w:tc>
        <w:tc>
          <w:tcPr>
            <w:tcW w:w="1459" w:type="dxa"/>
            <w:shd w:val="clear" w:color="auto" w:fill="EAF1DD"/>
          </w:tcPr>
          <w:p w14:paraId="38881A7D" w14:textId="77777777" w:rsidR="000A2150" w:rsidRPr="00C75695" w:rsidRDefault="000A2150" w:rsidP="00FA3207">
            <w:pPr>
              <w:rPr>
                <w:color w:val="000000"/>
                <w:sz w:val="16"/>
                <w:szCs w:val="16"/>
                <w:lang w:val="en-GB" w:eastAsia="en-GB"/>
              </w:rPr>
            </w:pPr>
            <w:r w:rsidRPr="00C75695">
              <w:rPr>
                <w:i/>
                <w:color w:val="000000"/>
                <w:sz w:val="16"/>
                <w:szCs w:val="16"/>
                <w:lang w:val="en-GB" w:eastAsia="en-GB"/>
              </w:rPr>
              <w:t>Cerasus klokovii</w:t>
            </w:r>
            <w:r w:rsidRPr="00C75695">
              <w:rPr>
                <w:iCs/>
                <w:color w:val="000000"/>
                <w:sz w:val="16"/>
                <w:szCs w:val="16"/>
                <w:lang w:val="en-GB" w:eastAsia="en-GB"/>
              </w:rPr>
              <w:t xml:space="preserve"> Sobko (</w:t>
            </w:r>
            <w:r w:rsidRPr="00C75695">
              <w:rPr>
                <w:b/>
                <w:bCs/>
                <w:iCs/>
                <w:color w:val="000000"/>
                <w:sz w:val="16"/>
                <w:szCs w:val="16"/>
                <w:lang w:val="en-GB" w:eastAsia="en-GB"/>
              </w:rPr>
              <w:t>species</w:t>
            </w:r>
            <w:r w:rsidRPr="00C75695">
              <w:rPr>
                <w:iCs/>
                <w:color w:val="000000"/>
                <w:sz w:val="16"/>
                <w:szCs w:val="16"/>
                <w:lang w:val="en-GB" w:eastAsia="en-GB"/>
              </w:rPr>
              <w:t>)</w:t>
            </w:r>
          </w:p>
        </w:tc>
        <w:tc>
          <w:tcPr>
            <w:tcW w:w="1518" w:type="dxa"/>
            <w:shd w:val="clear" w:color="auto" w:fill="EAF1DD"/>
          </w:tcPr>
          <w:p w14:paraId="586D01C7"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vulnerable</w:t>
            </w:r>
          </w:p>
        </w:tc>
        <w:tc>
          <w:tcPr>
            <w:tcW w:w="1133" w:type="dxa"/>
            <w:shd w:val="clear" w:color="auto" w:fill="EAF1DD"/>
          </w:tcPr>
          <w:p w14:paraId="68EA1D5C"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r w:rsidRPr="00C75695">
              <w:rPr>
                <w:rStyle w:val="af6"/>
                <w:color w:val="000000"/>
                <w:sz w:val="16"/>
                <w:szCs w:val="16"/>
                <w:lang w:val="en-GB" w:eastAsia="en-GB"/>
              </w:rPr>
              <w:footnoteReference w:id="70"/>
            </w:r>
          </w:p>
        </w:tc>
        <w:tc>
          <w:tcPr>
            <w:tcW w:w="3970" w:type="dxa"/>
            <w:shd w:val="clear" w:color="auto" w:fill="EAF1DD"/>
          </w:tcPr>
          <w:p w14:paraId="78754C1A" w14:textId="77777777" w:rsidR="000A2150" w:rsidRPr="00C75695" w:rsidRDefault="000A2150" w:rsidP="00FA3207">
            <w:pPr>
              <w:rPr>
                <w:i/>
                <w:iCs/>
                <w:color w:val="000000"/>
                <w:sz w:val="16"/>
                <w:szCs w:val="16"/>
                <w:u w:val="single"/>
                <w:lang w:val="en-GB" w:eastAsia="en-GB"/>
              </w:rPr>
            </w:pPr>
            <w:r w:rsidRPr="00C75695">
              <w:rPr>
                <w:i/>
                <w:iCs/>
                <w:color w:val="000000"/>
                <w:sz w:val="16"/>
                <w:szCs w:val="16"/>
                <w:lang w:val="en-GB" w:eastAsia="en-GB"/>
              </w:rPr>
              <w:t xml:space="preserve">Prunus fruticosa </w:t>
            </w:r>
            <w:r w:rsidRPr="00C75695">
              <w:rPr>
                <w:color w:val="000000"/>
                <w:sz w:val="16"/>
                <w:szCs w:val="16"/>
                <w:lang w:val="en-GB" w:eastAsia="en-GB"/>
              </w:rPr>
              <w:t>(European Dwarf Cherry)</w:t>
            </w:r>
          </w:p>
          <w:p w14:paraId="46F5810C"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Prunus mahaleb </w:t>
            </w:r>
            <w:r w:rsidRPr="00C75695">
              <w:rPr>
                <w:color w:val="000000"/>
                <w:sz w:val="16"/>
                <w:szCs w:val="16"/>
                <w:lang w:val="en-GB" w:eastAsia="en-GB"/>
              </w:rPr>
              <w:t>(Mahaleb Cherry)</w:t>
            </w:r>
          </w:p>
          <w:p w14:paraId="53649016"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Prunus padus </w:t>
            </w:r>
            <w:r w:rsidRPr="00C75695">
              <w:rPr>
                <w:color w:val="000000"/>
                <w:sz w:val="16"/>
                <w:szCs w:val="16"/>
                <w:lang w:val="en-GB" w:eastAsia="en-GB"/>
              </w:rPr>
              <w:t>(Bird Cherry)</w:t>
            </w:r>
          </w:p>
        </w:tc>
        <w:tc>
          <w:tcPr>
            <w:tcW w:w="1701" w:type="dxa"/>
            <w:shd w:val="clear" w:color="auto" w:fill="EAF1DD"/>
          </w:tcPr>
          <w:p w14:paraId="53F876F4"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48DADDE5" w14:textId="77777777" w:rsidTr="00FA3207">
        <w:trPr>
          <w:gridAfter w:val="1"/>
          <w:wAfter w:w="8" w:type="dxa"/>
          <w:trHeight w:val="300"/>
        </w:trPr>
        <w:tc>
          <w:tcPr>
            <w:tcW w:w="552" w:type="dxa"/>
            <w:shd w:val="clear" w:color="auto" w:fill="EAF1DD"/>
          </w:tcPr>
          <w:p w14:paraId="3BF28679"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4.</w:t>
            </w:r>
          </w:p>
        </w:tc>
        <w:tc>
          <w:tcPr>
            <w:tcW w:w="1134" w:type="dxa"/>
            <w:tcBorders>
              <w:right w:val="single" w:sz="4" w:space="0" w:color="auto"/>
            </w:tcBorders>
            <w:shd w:val="clear" w:color="auto" w:fill="EAF1DD"/>
            <w:noWrap/>
            <w:vAlign w:val="center"/>
          </w:tcPr>
          <w:p w14:paraId="621DA3CD"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груша</w:t>
            </w:r>
          </w:p>
        </w:tc>
        <w:tc>
          <w:tcPr>
            <w:tcW w:w="1192" w:type="dxa"/>
            <w:tcBorders>
              <w:left w:val="single" w:sz="4" w:space="0" w:color="auto"/>
              <w:right w:val="single" w:sz="4" w:space="0" w:color="auto"/>
            </w:tcBorders>
            <w:shd w:val="clear" w:color="auto" w:fill="EAF1DD"/>
            <w:vAlign w:val="center"/>
          </w:tcPr>
          <w:p w14:paraId="2621D321"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pear tree</w:t>
            </w:r>
          </w:p>
        </w:tc>
        <w:tc>
          <w:tcPr>
            <w:tcW w:w="2069" w:type="dxa"/>
            <w:tcBorders>
              <w:left w:val="single" w:sz="4" w:space="0" w:color="auto"/>
            </w:tcBorders>
            <w:shd w:val="clear" w:color="auto" w:fill="EAF1DD"/>
            <w:vAlign w:val="bottom"/>
          </w:tcPr>
          <w:p w14:paraId="7AAD62CA"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Pyrus </w:t>
            </w:r>
            <w:r w:rsidRPr="00C75695">
              <w:rPr>
                <w:color w:val="000000"/>
                <w:sz w:val="16"/>
                <w:szCs w:val="16"/>
                <w:lang w:val="en-GB" w:eastAsia="en-GB"/>
              </w:rPr>
              <w:t>L.</w:t>
            </w:r>
            <w:r w:rsidRPr="00C75695">
              <w:rPr>
                <w:color w:val="000000"/>
                <w:sz w:val="16"/>
                <w:szCs w:val="16"/>
                <w:lang w:val="en-GB" w:eastAsia="en-GB"/>
              </w:rPr>
              <w:br/>
            </w:r>
            <w:r w:rsidRPr="00C75695">
              <w:rPr>
                <w:b/>
                <w:bCs/>
                <w:color w:val="000000"/>
                <w:sz w:val="16"/>
                <w:szCs w:val="16"/>
                <w:lang w:val="en-GB" w:eastAsia="en-GB"/>
              </w:rPr>
              <w:t>Genus</w:t>
            </w:r>
          </w:p>
        </w:tc>
        <w:tc>
          <w:tcPr>
            <w:tcW w:w="1459" w:type="dxa"/>
            <w:shd w:val="clear" w:color="auto" w:fill="EAF1DD"/>
          </w:tcPr>
          <w:p w14:paraId="68B3DC5C" w14:textId="77777777" w:rsidR="000A2150" w:rsidRPr="00C75695" w:rsidRDefault="000A2150" w:rsidP="00FA3207">
            <w:pPr>
              <w:rPr>
                <w:color w:val="000000"/>
                <w:sz w:val="16"/>
                <w:szCs w:val="16"/>
                <w:lang w:val="en-GB" w:eastAsia="en-GB"/>
              </w:rPr>
            </w:pPr>
          </w:p>
        </w:tc>
        <w:tc>
          <w:tcPr>
            <w:tcW w:w="1518" w:type="dxa"/>
            <w:shd w:val="clear" w:color="auto" w:fill="EAF1DD"/>
          </w:tcPr>
          <w:p w14:paraId="5719B4B9" w14:textId="77777777" w:rsidR="000A2150" w:rsidRPr="00C75695" w:rsidRDefault="000A2150" w:rsidP="00FA3207">
            <w:pPr>
              <w:rPr>
                <w:color w:val="000000"/>
                <w:sz w:val="16"/>
                <w:szCs w:val="16"/>
                <w:lang w:val="en-GB" w:eastAsia="en-GB"/>
              </w:rPr>
            </w:pPr>
          </w:p>
        </w:tc>
        <w:tc>
          <w:tcPr>
            <w:tcW w:w="1133" w:type="dxa"/>
            <w:shd w:val="clear" w:color="auto" w:fill="EAF1DD"/>
          </w:tcPr>
          <w:p w14:paraId="10370E5A"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2B2E50D0" w14:textId="77777777" w:rsidR="000A2150" w:rsidRPr="00C75695" w:rsidRDefault="000A2150" w:rsidP="00FA3207">
            <w:pPr>
              <w:rPr>
                <w:i/>
                <w:iCs/>
                <w:color w:val="000000"/>
                <w:sz w:val="16"/>
                <w:szCs w:val="16"/>
                <w:lang w:val="en-GB" w:eastAsia="en-GB"/>
              </w:rPr>
            </w:pPr>
            <w:r w:rsidRPr="00C75695">
              <w:rPr>
                <w:i/>
                <w:iCs/>
                <w:color w:val="000000"/>
                <w:sz w:val="16"/>
                <w:szCs w:val="16"/>
                <w:lang w:val="en-GB" w:eastAsia="en-GB"/>
              </w:rPr>
              <w:t xml:space="preserve">Pyrus communis </w:t>
            </w:r>
            <w:r w:rsidRPr="00C75695">
              <w:rPr>
                <w:color w:val="000000"/>
                <w:sz w:val="16"/>
                <w:szCs w:val="16"/>
                <w:lang w:val="en-GB" w:eastAsia="en-GB"/>
              </w:rPr>
              <w:t>(Pear)</w:t>
            </w:r>
          </w:p>
        </w:tc>
        <w:tc>
          <w:tcPr>
            <w:tcW w:w="1701" w:type="dxa"/>
            <w:shd w:val="clear" w:color="auto" w:fill="EAF1DD"/>
          </w:tcPr>
          <w:p w14:paraId="2ADF054B"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3FCE653A" w14:textId="77777777" w:rsidTr="00FA3207">
        <w:trPr>
          <w:gridAfter w:val="1"/>
          <w:wAfter w:w="8" w:type="dxa"/>
          <w:trHeight w:val="300"/>
        </w:trPr>
        <w:tc>
          <w:tcPr>
            <w:tcW w:w="552" w:type="dxa"/>
            <w:shd w:val="clear" w:color="auto" w:fill="EAF1DD"/>
          </w:tcPr>
          <w:p w14:paraId="0F7F7741"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5.</w:t>
            </w:r>
          </w:p>
        </w:tc>
        <w:tc>
          <w:tcPr>
            <w:tcW w:w="1134" w:type="dxa"/>
            <w:tcBorders>
              <w:right w:val="single" w:sz="4" w:space="0" w:color="auto"/>
            </w:tcBorders>
            <w:shd w:val="clear" w:color="auto" w:fill="EAF1DD"/>
            <w:noWrap/>
            <w:vAlign w:val="center"/>
          </w:tcPr>
          <w:p w14:paraId="280EC305"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горіх</w:t>
            </w:r>
          </w:p>
        </w:tc>
        <w:tc>
          <w:tcPr>
            <w:tcW w:w="1192" w:type="dxa"/>
            <w:tcBorders>
              <w:left w:val="single" w:sz="4" w:space="0" w:color="auto"/>
              <w:right w:val="single" w:sz="4" w:space="0" w:color="auto"/>
            </w:tcBorders>
            <w:shd w:val="clear" w:color="auto" w:fill="EAF1DD"/>
            <w:vAlign w:val="center"/>
          </w:tcPr>
          <w:p w14:paraId="595C5874"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walnut tree</w:t>
            </w:r>
          </w:p>
        </w:tc>
        <w:tc>
          <w:tcPr>
            <w:tcW w:w="2069" w:type="dxa"/>
            <w:tcBorders>
              <w:left w:val="single" w:sz="4" w:space="0" w:color="auto"/>
            </w:tcBorders>
            <w:shd w:val="clear" w:color="auto" w:fill="EAF1DD"/>
            <w:vAlign w:val="bottom"/>
          </w:tcPr>
          <w:p w14:paraId="46BA387A"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Juglans </w:t>
            </w:r>
            <w:r w:rsidRPr="00C75695">
              <w:rPr>
                <w:color w:val="000000"/>
                <w:sz w:val="16"/>
                <w:szCs w:val="16"/>
                <w:lang w:val="en-GB" w:eastAsia="en-GB"/>
              </w:rPr>
              <w:t>L.</w:t>
            </w:r>
            <w:r w:rsidRPr="00C75695">
              <w:rPr>
                <w:color w:val="000000"/>
                <w:sz w:val="16"/>
                <w:szCs w:val="16"/>
                <w:lang w:val="en-GB" w:eastAsia="en-GB"/>
              </w:rPr>
              <w:br/>
            </w:r>
            <w:r w:rsidRPr="00C75695">
              <w:rPr>
                <w:b/>
                <w:bCs/>
                <w:color w:val="000000"/>
                <w:sz w:val="16"/>
                <w:szCs w:val="16"/>
                <w:lang w:val="en-GB" w:eastAsia="en-GB"/>
              </w:rPr>
              <w:t>Genus</w:t>
            </w:r>
          </w:p>
        </w:tc>
        <w:tc>
          <w:tcPr>
            <w:tcW w:w="1459" w:type="dxa"/>
            <w:shd w:val="clear" w:color="auto" w:fill="EAF1DD"/>
          </w:tcPr>
          <w:p w14:paraId="71156E18" w14:textId="77777777" w:rsidR="000A2150" w:rsidRPr="00C75695" w:rsidRDefault="000A2150" w:rsidP="00FA3207">
            <w:pPr>
              <w:rPr>
                <w:color w:val="000000"/>
                <w:sz w:val="16"/>
                <w:szCs w:val="16"/>
                <w:lang w:val="en-GB" w:eastAsia="en-GB"/>
              </w:rPr>
            </w:pPr>
          </w:p>
        </w:tc>
        <w:tc>
          <w:tcPr>
            <w:tcW w:w="1518" w:type="dxa"/>
            <w:shd w:val="clear" w:color="auto" w:fill="EAF1DD"/>
          </w:tcPr>
          <w:p w14:paraId="5E2D7D63" w14:textId="77777777" w:rsidR="000A2150" w:rsidRPr="00C75695" w:rsidRDefault="000A2150" w:rsidP="00FA3207">
            <w:pPr>
              <w:rPr>
                <w:color w:val="000000"/>
                <w:sz w:val="16"/>
                <w:szCs w:val="16"/>
                <w:lang w:val="en-GB" w:eastAsia="en-GB"/>
              </w:rPr>
            </w:pPr>
          </w:p>
        </w:tc>
        <w:tc>
          <w:tcPr>
            <w:tcW w:w="1133" w:type="dxa"/>
            <w:shd w:val="clear" w:color="auto" w:fill="EAF1DD"/>
          </w:tcPr>
          <w:p w14:paraId="123023BF"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5BD815A0"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Juglans regia </w:t>
            </w:r>
            <w:r w:rsidRPr="00C75695">
              <w:rPr>
                <w:color w:val="000000"/>
                <w:sz w:val="16"/>
                <w:szCs w:val="16"/>
                <w:lang w:val="en-GB" w:eastAsia="en-GB"/>
              </w:rPr>
              <w:t>(Common Walnut)</w:t>
            </w:r>
          </w:p>
        </w:tc>
        <w:tc>
          <w:tcPr>
            <w:tcW w:w="1701" w:type="dxa"/>
            <w:shd w:val="clear" w:color="auto" w:fill="EAF1DD"/>
          </w:tcPr>
          <w:p w14:paraId="0BC280A8"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49CBEDB3" w14:textId="77777777" w:rsidTr="00FA3207">
        <w:trPr>
          <w:gridAfter w:val="1"/>
          <w:wAfter w:w="8" w:type="dxa"/>
          <w:trHeight w:val="324"/>
        </w:trPr>
        <w:tc>
          <w:tcPr>
            <w:tcW w:w="552" w:type="dxa"/>
            <w:shd w:val="clear" w:color="auto" w:fill="EAF1DD"/>
          </w:tcPr>
          <w:p w14:paraId="6C0E44C0"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6.</w:t>
            </w:r>
          </w:p>
        </w:tc>
        <w:tc>
          <w:tcPr>
            <w:tcW w:w="1134" w:type="dxa"/>
            <w:tcBorders>
              <w:right w:val="single" w:sz="4" w:space="0" w:color="auto"/>
            </w:tcBorders>
            <w:shd w:val="clear" w:color="auto" w:fill="EAF1DD"/>
            <w:noWrap/>
            <w:vAlign w:val="center"/>
          </w:tcPr>
          <w:p w14:paraId="7A705C0D"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каштан</w:t>
            </w:r>
          </w:p>
        </w:tc>
        <w:tc>
          <w:tcPr>
            <w:tcW w:w="1192" w:type="dxa"/>
            <w:tcBorders>
              <w:left w:val="single" w:sz="4" w:space="0" w:color="auto"/>
              <w:right w:val="single" w:sz="4" w:space="0" w:color="auto"/>
            </w:tcBorders>
            <w:shd w:val="clear" w:color="auto" w:fill="EAF1DD"/>
            <w:vAlign w:val="center"/>
          </w:tcPr>
          <w:p w14:paraId="43886AEA"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chestnut</w:t>
            </w:r>
          </w:p>
        </w:tc>
        <w:tc>
          <w:tcPr>
            <w:tcW w:w="2069" w:type="dxa"/>
            <w:tcBorders>
              <w:left w:val="single" w:sz="4" w:space="0" w:color="auto"/>
            </w:tcBorders>
            <w:shd w:val="clear" w:color="auto" w:fill="EAF1DD"/>
            <w:vAlign w:val="bottom"/>
          </w:tcPr>
          <w:p w14:paraId="637A6727"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Castanea </w:t>
            </w:r>
            <w:r w:rsidRPr="00C75695">
              <w:rPr>
                <w:color w:val="000000"/>
                <w:sz w:val="16"/>
                <w:szCs w:val="16"/>
                <w:lang w:val="en-GB" w:eastAsia="en-GB"/>
              </w:rPr>
              <w:t>Mill.</w:t>
            </w:r>
            <w:r w:rsidRPr="00C75695">
              <w:rPr>
                <w:color w:val="000000"/>
                <w:sz w:val="16"/>
                <w:szCs w:val="16"/>
                <w:lang w:val="en-GB" w:eastAsia="en-GB"/>
              </w:rPr>
              <w:br/>
            </w:r>
            <w:r w:rsidRPr="00C75695">
              <w:rPr>
                <w:b/>
                <w:bCs/>
                <w:color w:val="000000"/>
                <w:sz w:val="16"/>
                <w:szCs w:val="16"/>
                <w:lang w:val="en-GB" w:eastAsia="en-GB"/>
              </w:rPr>
              <w:t>Genus</w:t>
            </w:r>
          </w:p>
        </w:tc>
        <w:tc>
          <w:tcPr>
            <w:tcW w:w="1459" w:type="dxa"/>
            <w:shd w:val="clear" w:color="auto" w:fill="EAF1DD"/>
          </w:tcPr>
          <w:p w14:paraId="69D41C55" w14:textId="77777777" w:rsidR="000A2150" w:rsidRPr="00C75695" w:rsidRDefault="000A2150" w:rsidP="00FA3207">
            <w:pPr>
              <w:rPr>
                <w:color w:val="000000"/>
                <w:sz w:val="16"/>
                <w:szCs w:val="16"/>
                <w:lang w:val="en-GB" w:eastAsia="en-GB"/>
              </w:rPr>
            </w:pPr>
          </w:p>
        </w:tc>
        <w:tc>
          <w:tcPr>
            <w:tcW w:w="1518" w:type="dxa"/>
            <w:shd w:val="clear" w:color="auto" w:fill="EAF1DD"/>
          </w:tcPr>
          <w:p w14:paraId="094FC891" w14:textId="77777777" w:rsidR="000A2150" w:rsidRPr="00C75695" w:rsidRDefault="000A2150" w:rsidP="00FA3207">
            <w:pPr>
              <w:rPr>
                <w:color w:val="000000"/>
                <w:sz w:val="16"/>
                <w:szCs w:val="16"/>
                <w:lang w:val="en-GB" w:eastAsia="en-GB"/>
              </w:rPr>
            </w:pPr>
          </w:p>
        </w:tc>
        <w:tc>
          <w:tcPr>
            <w:tcW w:w="1133" w:type="dxa"/>
            <w:shd w:val="clear" w:color="auto" w:fill="EAF1DD"/>
          </w:tcPr>
          <w:p w14:paraId="54CE146D"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00F28AD2"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Castanea sativa </w:t>
            </w:r>
            <w:r w:rsidRPr="00C75695">
              <w:rPr>
                <w:color w:val="000000"/>
                <w:sz w:val="16"/>
                <w:szCs w:val="16"/>
                <w:lang w:val="en-GB" w:eastAsia="en-GB"/>
              </w:rPr>
              <w:t>(Sweet Chestnut)</w:t>
            </w:r>
          </w:p>
        </w:tc>
        <w:tc>
          <w:tcPr>
            <w:tcW w:w="1701" w:type="dxa"/>
            <w:shd w:val="clear" w:color="auto" w:fill="EAF1DD"/>
          </w:tcPr>
          <w:p w14:paraId="73C43902"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7302C4DA" w14:textId="77777777" w:rsidTr="00FA3207">
        <w:trPr>
          <w:gridAfter w:val="1"/>
          <w:wAfter w:w="8" w:type="dxa"/>
          <w:trHeight w:val="234"/>
        </w:trPr>
        <w:tc>
          <w:tcPr>
            <w:tcW w:w="552" w:type="dxa"/>
            <w:shd w:val="clear" w:color="auto" w:fill="EAF1DD"/>
          </w:tcPr>
          <w:p w14:paraId="2F6AC7AA"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7.</w:t>
            </w:r>
          </w:p>
        </w:tc>
        <w:tc>
          <w:tcPr>
            <w:tcW w:w="1134" w:type="dxa"/>
            <w:tcBorders>
              <w:right w:val="single" w:sz="4" w:space="0" w:color="auto"/>
            </w:tcBorders>
            <w:shd w:val="clear" w:color="auto" w:fill="EAF1DD"/>
            <w:noWrap/>
            <w:vAlign w:val="center"/>
          </w:tcPr>
          <w:p w14:paraId="2E7AA438"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тис ягідний</w:t>
            </w:r>
          </w:p>
        </w:tc>
        <w:tc>
          <w:tcPr>
            <w:tcW w:w="1192" w:type="dxa"/>
            <w:tcBorders>
              <w:left w:val="single" w:sz="4" w:space="0" w:color="auto"/>
              <w:right w:val="single" w:sz="4" w:space="0" w:color="auto"/>
            </w:tcBorders>
            <w:shd w:val="clear" w:color="auto" w:fill="EAF1DD"/>
            <w:vAlign w:val="center"/>
          </w:tcPr>
          <w:p w14:paraId="31FABB8E"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common yew</w:t>
            </w:r>
          </w:p>
        </w:tc>
        <w:tc>
          <w:tcPr>
            <w:tcW w:w="2069" w:type="dxa"/>
            <w:tcBorders>
              <w:left w:val="single" w:sz="4" w:space="0" w:color="auto"/>
            </w:tcBorders>
            <w:shd w:val="clear" w:color="auto" w:fill="EAF1DD"/>
            <w:vAlign w:val="bottom"/>
          </w:tcPr>
          <w:p w14:paraId="7AFA0DCD"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Taxus baccata</w:t>
            </w:r>
            <w:r w:rsidRPr="00C75695">
              <w:rPr>
                <w:color w:val="000000"/>
                <w:sz w:val="16"/>
                <w:szCs w:val="16"/>
                <w:lang w:val="en-GB" w:eastAsia="en-GB"/>
              </w:rPr>
              <w:t xml:space="preserve"> L.</w:t>
            </w:r>
            <w:r w:rsidRPr="00C75695">
              <w:rPr>
                <w:color w:val="000000"/>
                <w:sz w:val="16"/>
                <w:szCs w:val="16"/>
                <w:lang w:val="en-GB" w:eastAsia="en-GB"/>
              </w:rPr>
              <w:br/>
            </w:r>
            <w:r w:rsidRPr="00C75695">
              <w:rPr>
                <w:b/>
                <w:bCs/>
                <w:color w:val="000000"/>
                <w:sz w:val="16"/>
                <w:szCs w:val="16"/>
                <w:lang w:val="en-GB" w:eastAsia="en-GB"/>
              </w:rPr>
              <w:t>Species</w:t>
            </w:r>
          </w:p>
        </w:tc>
        <w:tc>
          <w:tcPr>
            <w:tcW w:w="1459" w:type="dxa"/>
            <w:shd w:val="clear" w:color="auto" w:fill="EAF1DD"/>
          </w:tcPr>
          <w:p w14:paraId="65F05BCB"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Taxus baccata</w:t>
            </w:r>
            <w:r w:rsidRPr="00C75695">
              <w:rPr>
                <w:color w:val="000000"/>
                <w:sz w:val="16"/>
                <w:szCs w:val="16"/>
                <w:lang w:val="en-GB" w:eastAsia="en-GB"/>
              </w:rPr>
              <w:t xml:space="preserve"> L. (</w:t>
            </w:r>
            <w:r w:rsidRPr="00C75695">
              <w:rPr>
                <w:b/>
                <w:bCs/>
                <w:color w:val="000000"/>
                <w:sz w:val="16"/>
                <w:szCs w:val="16"/>
                <w:lang w:val="en-GB" w:eastAsia="en-GB"/>
              </w:rPr>
              <w:t>species</w:t>
            </w:r>
            <w:r w:rsidRPr="00C75695">
              <w:rPr>
                <w:color w:val="000000"/>
                <w:sz w:val="16"/>
                <w:szCs w:val="16"/>
                <w:lang w:val="en-GB" w:eastAsia="en-GB"/>
              </w:rPr>
              <w:t>)</w:t>
            </w:r>
          </w:p>
        </w:tc>
        <w:tc>
          <w:tcPr>
            <w:tcW w:w="1518" w:type="dxa"/>
            <w:shd w:val="clear" w:color="auto" w:fill="EAF1DD"/>
          </w:tcPr>
          <w:p w14:paraId="50FE715B"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vulnerable</w:t>
            </w:r>
          </w:p>
        </w:tc>
        <w:tc>
          <w:tcPr>
            <w:tcW w:w="1133" w:type="dxa"/>
            <w:shd w:val="clear" w:color="auto" w:fill="EAF1DD"/>
          </w:tcPr>
          <w:p w14:paraId="4C4F9E81"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25808AAA"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Taxus baccata </w:t>
            </w:r>
            <w:r w:rsidRPr="00C75695">
              <w:rPr>
                <w:color w:val="000000"/>
                <w:sz w:val="16"/>
                <w:szCs w:val="16"/>
                <w:lang w:val="en-GB" w:eastAsia="en-GB"/>
              </w:rPr>
              <w:t>(Common Yew)</w:t>
            </w:r>
          </w:p>
        </w:tc>
        <w:tc>
          <w:tcPr>
            <w:tcW w:w="1701" w:type="dxa"/>
            <w:shd w:val="clear" w:color="auto" w:fill="EAF1DD"/>
          </w:tcPr>
          <w:p w14:paraId="4F546064"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363CC446" w14:textId="77777777" w:rsidTr="00FA3207">
        <w:trPr>
          <w:gridAfter w:val="1"/>
          <w:wAfter w:w="8" w:type="dxa"/>
          <w:trHeight w:val="300"/>
        </w:trPr>
        <w:tc>
          <w:tcPr>
            <w:tcW w:w="552" w:type="dxa"/>
            <w:shd w:val="clear" w:color="auto" w:fill="EAF1DD"/>
          </w:tcPr>
          <w:p w14:paraId="4C46C7F2"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8.</w:t>
            </w:r>
          </w:p>
        </w:tc>
        <w:tc>
          <w:tcPr>
            <w:tcW w:w="1134" w:type="dxa"/>
            <w:tcBorders>
              <w:right w:val="single" w:sz="4" w:space="0" w:color="auto"/>
            </w:tcBorders>
            <w:shd w:val="clear" w:color="auto" w:fill="EAF1DD"/>
            <w:noWrap/>
            <w:vAlign w:val="center"/>
          </w:tcPr>
          <w:p w14:paraId="5271665B"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черешня</w:t>
            </w:r>
          </w:p>
        </w:tc>
        <w:tc>
          <w:tcPr>
            <w:tcW w:w="1192" w:type="dxa"/>
            <w:tcBorders>
              <w:left w:val="single" w:sz="4" w:space="0" w:color="auto"/>
              <w:right w:val="single" w:sz="4" w:space="0" w:color="auto"/>
            </w:tcBorders>
            <w:shd w:val="clear" w:color="auto" w:fill="EAF1DD"/>
            <w:vAlign w:val="center"/>
          </w:tcPr>
          <w:p w14:paraId="637089EC"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black cherry tree</w:t>
            </w:r>
          </w:p>
        </w:tc>
        <w:tc>
          <w:tcPr>
            <w:tcW w:w="2069" w:type="dxa"/>
            <w:tcBorders>
              <w:left w:val="single" w:sz="4" w:space="0" w:color="auto"/>
            </w:tcBorders>
            <w:shd w:val="clear" w:color="auto" w:fill="EAF1DD"/>
            <w:vAlign w:val="bottom"/>
          </w:tcPr>
          <w:p w14:paraId="6F680CE8"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Prunus avium</w:t>
            </w:r>
            <w:r w:rsidRPr="00C75695">
              <w:rPr>
                <w:color w:val="000000"/>
                <w:sz w:val="16"/>
                <w:szCs w:val="16"/>
                <w:lang w:val="en-GB" w:eastAsia="en-GB"/>
              </w:rPr>
              <w:t xml:space="preserve"> L.</w:t>
            </w:r>
            <w:r w:rsidRPr="00C75695">
              <w:rPr>
                <w:color w:val="000000"/>
                <w:sz w:val="16"/>
                <w:szCs w:val="16"/>
                <w:lang w:val="en-GB" w:eastAsia="en-GB"/>
              </w:rPr>
              <w:br/>
            </w:r>
            <w:r w:rsidRPr="00C75695">
              <w:rPr>
                <w:b/>
                <w:bCs/>
                <w:color w:val="000000"/>
                <w:sz w:val="16"/>
                <w:szCs w:val="16"/>
                <w:lang w:val="en-GB" w:eastAsia="en-GB"/>
              </w:rPr>
              <w:t>Species</w:t>
            </w:r>
          </w:p>
        </w:tc>
        <w:tc>
          <w:tcPr>
            <w:tcW w:w="1459" w:type="dxa"/>
            <w:shd w:val="clear" w:color="auto" w:fill="EAF1DD"/>
          </w:tcPr>
          <w:p w14:paraId="05C408E3" w14:textId="77777777" w:rsidR="000A2150" w:rsidRPr="00C75695" w:rsidRDefault="000A2150" w:rsidP="00FA3207">
            <w:pPr>
              <w:rPr>
                <w:color w:val="000000"/>
                <w:sz w:val="16"/>
                <w:szCs w:val="16"/>
                <w:lang w:val="en-GB" w:eastAsia="en-GB"/>
              </w:rPr>
            </w:pPr>
          </w:p>
        </w:tc>
        <w:tc>
          <w:tcPr>
            <w:tcW w:w="1518" w:type="dxa"/>
            <w:shd w:val="clear" w:color="auto" w:fill="EAF1DD"/>
          </w:tcPr>
          <w:p w14:paraId="4C958F75" w14:textId="77777777" w:rsidR="000A2150" w:rsidRPr="00C75695" w:rsidRDefault="000A2150" w:rsidP="00FA3207">
            <w:pPr>
              <w:rPr>
                <w:color w:val="000000"/>
                <w:sz w:val="16"/>
                <w:szCs w:val="16"/>
                <w:lang w:val="en-GB" w:eastAsia="en-GB"/>
              </w:rPr>
            </w:pPr>
          </w:p>
        </w:tc>
        <w:tc>
          <w:tcPr>
            <w:tcW w:w="1133" w:type="dxa"/>
            <w:shd w:val="clear" w:color="auto" w:fill="EAF1DD"/>
          </w:tcPr>
          <w:p w14:paraId="20AD4EAD"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33B00E27"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Prunus avium </w:t>
            </w:r>
            <w:r w:rsidRPr="00C75695">
              <w:rPr>
                <w:color w:val="000000"/>
                <w:sz w:val="16"/>
                <w:szCs w:val="16"/>
                <w:lang w:val="en-GB" w:eastAsia="en-GB"/>
              </w:rPr>
              <w:t>(Sweet Cherry)</w:t>
            </w:r>
          </w:p>
        </w:tc>
        <w:tc>
          <w:tcPr>
            <w:tcW w:w="1701" w:type="dxa"/>
            <w:shd w:val="clear" w:color="auto" w:fill="EAF1DD"/>
          </w:tcPr>
          <w:p w14:paraId="041BB6B4"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7C4CA159" w14:textId="77777777" w:rsidTr="00FA3207">
        <w:trPr>
          <w:gridAfter w:val="1"/>
          <w:wAfter w:w="8" w:type="dxa"/>
          <w:trHeight w:val="300"/>
        </w:trPr>
        <w:tc>
          <w:tcPr>
            <w:tcW w:w="552" w:type="dxa"/>
            <w:shd w:val="clear" w:color="auto" w:fill="EAF1DD"/>
          </w:tcPr>
          <w:p w14:paraId="544283B3"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9.</w:t>
            </w:r>
          </w:p>
        </w:tc>
        <w:tc>
          <w:tcPr>
            <w:tcW w:w="1134" w:type="dxa"/>
            <w:tcBorders>
              <w:right w:val="single" w:sz="4" w:space="0" w:color="auto"/>
            </w:tcBorders>
            <w:shd w:val="clear" w:color="auto" w:fill="EAF1DD"/>
            <w:noWrap/>
            <w:vAlign w:val="center"/>
          </w:tcPr>
          <w:p w14:paraId="16C354CE"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явір</w:t>
            </w:r>
          </w:p>
        </w:tc>
        <w:tc>
          <w:tcPr>
            <w:tcW w:w="1192" w:type="dxa"/>
            <w:tcBorders>
              <w:left w:val="single" w:sz="4" w:space="0" w:color="auto"/>
              <w:right w:val="single" w:sz="4" w:space="0" w:color="auto"/>
            </w:tcBorders>
            <w:shd w:val="clear" w:color="auto" w:fill="EAF1DD"/>
            <w:vAlign w:val="center"/>
          </w:tcPr>
          <w:p w14:paraId="5E991017"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acer</w:t>
            </w:r>
          </w:p>
        </w:tc>
        <w:tc>
          <w:tcPr>
            <w:tcW w:w="2069" w:type="dxa"/>
            <w:tcBorders>
              <w:left w:val="single" w:sz="4" w:space="0" w:color="auto"/>
            </w:tcBorders>
            <w:shd w:val="clear" w:color="auto" w:fill="EAF1DD"/>
            <w:vAlign w:val="bottom"/>
          </w:tcPr>
          <w:p w14:paraId="310B3778"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Acer pseudoplatanus</w:t>
            </w:r>
            <w:r w:rsidRPr="00C75695">
              <w:rPr>
                <w:color w:val="000000"/>
                <w:sz w:val="16"/>
                <w:szCs w:val="16"/>
                <w:lang w:val="en-GB" w:eastAsia="en-GB"/>
              </w:rPr>
              <w:t xml:space="preserve"> L.</w:t>
            </w:r>
            <w:r w:rsidRPr="00C75695">
              <w:rPr>
                <w:color w:val="000000"/>
                <w:sz w:val="16"/>
                <w:szCs w:val="16"/>
                <w:lang w:val="en-GB" w:eastAsia="en-GB"/>
              </w:rPr>
              <w:br/>
            </w:r>
            <w:r w:rsidRPr="00C75695">
              <w:rPr>
                <w:b/>
                <w:bCs/>
                <w:color w:val="000000"/>
                <w:sz w:val="16"/>
                <w:szCs w:val="16"/>
                <w:lang w:val="en-GB" w:eastAsia="en-GB"/>
              </w:rPr>
              <w:t>Species</w:t>
            </w:r>
          </w:p>
        </w:tc>
        <w:tc>
          <w:tcPr>
            <w:tcW w:w="1459" w:type="dxa"/>
            <w:shd w:val="clear" w:color="auto" w:fill="EAF1DD"/>
          </w:tcPr>
          <w:p w14:paraId="165BCCC4" w14:textId="77777777" w:rsidR="000A2150" w:rsidRPr="00C75695" w:rsidRDefault="000A2150" w:rsidP="00FA3207">
            <w:pPr>
              <w:rPr>
                <w:color w:val="000000"/>
                <w:sz w:val="16"/>
                <w:szCs w:val="16"/>
                <w:lang w:val="en-GB" w:eastAsia="en-GB"/>
              </w:rPr>
            </w:pPr>
          </w:p>
        </w:tc>
        <w:tc>
          <w:tcPr>
            <w:tcW w:w="1518" w:type="dxa"/>
            <w:shd w:val="clear" w:color="auto" w:fill="EAF1DD"/>
          </w:tcPr>
          <w:p w14:paraId="5ACB2A55" w14:textId="77777777" w:rsidR="000A2150" w:rsidRPr="00C75695" w:rsidRDefault="000A2150" w:rsidP="00FA3207">
            <w:pPr>
              <w:rPr>
                <w:color w:val="000000"/>
                <w:sz w:val="16"/>
                <w:szCs w:val="16"/>
                <w:lang w:val="en-GB" w:eastAsia="en-GB"/>
              </w:rPr>
            </w:pPr>
          </w:p>
        </w:tc>
        <w:tc>
          <w:tcPr>
            <w:tcW w:w="1133" w:type="dxa"/>
            <w:shd w:val="clear" w:color="auto" w:fill="EAF1DD"/>
          </w:tcPr>
          <w:p w14:paraId="3F23E262"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shd w:val="clear" w:color="auto" w:fill="EAF1DD"/>
          </w:tcPr>
          <w:p w14:paraId="5EB0ABD5"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Acer pseudoplatanus</w:t>
            </w:r>
          </w:p>
        </w:tc>
        <w:tc>
          <w:tcPr>
            <w:tcW w:w="1701" w:type="dxa"/>
            <w:shd w:val="clear" w:color="auto" w:fill="EAF1DD"/>
          </w:tcPr>
          <w:p w14:paraId="3ABCE93D"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5E628C4C" w14:textId="77777777" w:rsidTr="00FA3207">
        <w:trPr>
          <w:gridAfter w:val="1"/>
          <w:wAfter w:w="8" w:type="dxa"/>
          <w:trHeight w:val="222"/>
        </w:trPr>
        <w:tc>
          <w:tcPr>
            <w:tcW w:w="552" w:type="dxa"/>
            <w:vMerge w:val="restart"/>
            <w:shd w:val="clear" w:color="auto" w:fill="EAF1DD"/>
          </w:tcPr>
          <w:p w14:paraId="22D6CB85"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10.</w:t>
            </w:r>
          </w:p>
        </w:tc>
        <w:tc>
          <w:tcPr>
            <w:tcW w:w="1134" w:type="dxa"/>
            <w:vMerge w:val="restart"/>
            <w:tcBorders>
              <w:right w:val="single" w:sz="4" w:space="0" w:color="auto"/>
            </w:tcBorders>
            <w:shd w:val="clear" w:color="auto" w:fill="EAF1DD"/>
            <w:noWrap/>
            <w:vAlign w:val="center"/>
          </w:tcPr>
          <w:p w14:paraId="254A6E48"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ялівець</w:t>
            </w:r>
          </w:p>
        </w:tc>
        <w:tc>
          <w:tcPr>
            <w:tcW w:w="1192" w:type="dxa"/>
            <w:vMerge w:val="restart"/>
            <w:tcBorders>
              <w:left w:val="single" w:sz="4" w:space="0" w:color="auto"/>
              <w:right w:val="single" w:sz="4" w:space="0" w:color="auto"/>
            </w:tcBorders>
            <w:shd w:val="clear" w:color="auto" w:fill="EAF1DD"/>
            <w:vAlign w:val="center"/>
          </w:tcPr>
          <w:p w14:paraId="33758624"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juniper</w:t>
            </w:r>
          </w:p>
        </w:tc>
        <w:tc>
          <w:tcPr>
            <w:tcW w:w="2069" w:type="dxa"/>
            <w:vMerge w:val="restart"/>
            <w:tcBorders>
              <w:left w:val="single" w:sz="4" w:space="0" w:color="auto"/>
            </w:tcBorders>
            <w:shd w:val="clear" w:color="auto" w:fill="EAF1DD"/>
            <w:vAlign w:val="center"/>
          </w:tcPr>
          <w:p w14:paraId="3EA7DF95"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Juniperus </w:t>
            </w:r>
            <w:r w:rsidRPr="00C75695">
              <w:rPr>
                <w:color w:val="000000"/>
                <w:sz w:val="16"/>
                <w:szCs w:val="16"/>
                <w:lang w:val="en-GB" w:eastAsia="en-GB"/>
              </w:rPr>
              <w:t>L.</w:t>
            </w:r>
            <w:r w:rsidRPr="00C75695">
              <w:rPr>
                <w:color w:val="000000"/>
                <w:sz w:val="16"/>
                <w:szCs w:val="16"/>
                <w:lang w:val="en-GB" w:eastAsia="en-GB"/>
              </w:rPr>
              <w:br/>
            </w:r>
            <w:r w:rsidRPr="00C75695">
              <w:rPr>
                <w:b/>
                <w:bCs/>
                <w:color w:val="000000"/>
                <w:sz w:val="16"/>
                <w:szCs w:val="16"/>
                <w:lang w:val="en-GB" w:eastAsia="en-GB"/>
              </w:rPr>
              <w:t>Genus</w:t>
            </w:r>
          </w:p>
        </w:tc>
        <w:tc>
          <w:tcPr>
            <w:tcW w:w="1459" w:type="dxa"/>
            <w:tcBorders>
              <w:bottom w:val="single" w:sz="4" w:space="0" w:color="auto"/>
            </w:tcBorders>
            <w:shd w:val="clear" w:color="auto" w:fill="EAF1DD"/>
          </w:tcPr>
          <w:p w14:paraId="49391C10" w14:textId="77777777" w:rsidR="000A2150" w:rsidRPr="00C75695" w:rsidRDefault="000A2150" w:rsidP="00FA3207">
            <w:pPr>
              <w:rPr>
                <w:color w:val="000000"/>
                <w:sz w:val="16"/>
                <w:szCs w:val="16"/>
                <w:lang w:val="en-GB" w:eastAsia="en-GB"/>
              </w:rPr>
            </w:pPr>
            <w:r w:rsidRPr="00C75695">
              <w:rPr>
                <w:i/>
                <w:color w:val="000000"/>
                <w:sz w:val="16"/>
                <w:szCs w:val="16"/>
                <w:lang w:val="en-GB" w:eastAsia="en-GB"/>
              </w:rPr>
              <w:t>Juniperus excelsa</w:t>
            </w:r>
            <w:r w:rsidRPr="00C75695">
              <w:rPr>
                <w:iCs/>
                <w:color w:val="000000"/>
                <w:sz w:val="16"/>
                <w:szCs w:val="16"/>
                <w:lang w:val="en-GB" w:eastAsia="en-GB"/>
              </w:rPr>
              <w:t xml:space="preserve"> M.Bieb. (species)</w:t>
            </w:r>
          </w:p>
        </w:tc>
        <w:tc>
          <w:tcPr>
            <w:tcW w:w="1518" w:type="dxa"/>
            <w:tcBorders>
              <w:bottom w:val="single" w:sz="4" w:space="0" w:color="auto"/>
            </w:tcBorders>
            <w:shd w:val="clear" w:color="auto" w:fill="EAF1DD"/>
          </w:tcPr>
          <w:p w14:paraId="2EF66FD9"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vulnerable</w:t>
            </w:r>
          </w:p>
        </w:tc>
        <w:tc>
          <w:tcPr>
            <w:tcW w:w="1133" w:type="dxa"/>
            <w:vMerge w:val="restart"/>
            <w:shd w:val="clear" w:color="auto" w:fill="EAF1DD"/>
          </w:tcPr>
          <w:p w14:paraId="3F2DB019"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N/A</w:t>
            </w:r>
          </w:p>
        </w:tc>
        <w:tc>
          <w:tcPr>
            <w:tcW w:w="3970" w:type="dxa"/>
            <w:vMerge w:val="restart"/>
            <w:shd w:val="clear" w:color="auto" w:fill="EAF1DD"/>
          </w:tcPr>
          <w:p w14:paraId="56C987DF"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Juniperus communis </w:t>
            </w:r>
            <w:r w:rsidRPr="00C75695">
              <w:rPr>
                <w:color w:val="000000"/>
                <w:sz w:val="16"/>
                <w:szCs w:val="16"/>
                <w:lang w:val="en-GB" w:eastAsia="en-GB"/>
              </w:rPr>
              <w:t>(Common Juniper)</w:t>
            </w:r>
          </w:p>
          <w:p w14:paraId="0C6E5938"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Juniperus excelsa </w:t>
            </w:r>
            <w:r w:rsidRPr="00C75695">
              <w:rPr>
                <w:color w:val="000000"/>
                <w:sz w:val="16"/>
                <w:szCs w:val="16"/>
                <w:lang w:val="en-GB" w:eastAsia="en-GB"/>
              </w:rPr>
              <w:t>(Greek Juniper)</w:t>
            </w:r>
          </w:p>
          <w:p w14:paraId="00617FB5"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Juniperus foetidissima </w:t>
            </w:r>
            <w:r w:rsidRPr="00C75695">
              <w:rPr>
                <w:color w:val="000000"/>
                <w:sz w:val="16"/>
                <w:szCs w:val="16"/>
                <w:lang w:val="en-GB" w:eastAsia="en-GB"/>
              </w:rPr>
              <w:t>(Stinking Juniper)</w:t>
            </w:r>
          </w:p>
          <w:p w14:paraId="376CE55F"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Juniperus oxycedrus </w:t>
            </w:r>
            <w:r w:rsidRPr="00C75695">
              <w:rPr>
                <w:color w:val="000000"/>
                <w:sz w:val="16"/>
                <w:szCs w:val="16"/>
                <w:lang w:val="en-GB" w:eastAsia="en-GB"/>
              </w:rPr>
              <w:t>(Prickly Juniper)</w:t>
            </w:r>
          </w:p>
          <w:p w14:paraId="67A84434" w14:textId="77777777" w:rsidR="000A2150" w:rsidRPr="00C75695" w:rsidRDefault="000A2150" w:rsidP="00FA3207">
            <w:pPr>
              <w:rPr>
                <w:color w:val="000000"/>
                <w:sz w:val="16"/>
                <w:szCs w:val="16"/>
                <w:lang w:val="en-GB" w:eastAsia="en-GB"/>
              </w:rPr>
            </w:pPr>
            <w:r w:rsidRPr="00C75695">
              <w:rPr>
                <w:i/>
                <w:iCs/>
                <w:color w:val="000000"/>
                <w:sz w:val="16"/>
                <w:szCs w:val="16"/>
                <w:lang w:val="en-GB" w:eastAsia="en-GB"/>
              </w:rPr>
              <w:t xml:space="preserve">Juniperus sabina </w:t>
            </w:r>
            <w:r w:rsidRPr="00C75695">
              <w:rPr>
                <w:color w:val="000000"/>
                <w:sz w:val="16"/>
                <w:szCs w:val="16"/>
                <w:lang w:val="en-GB" w:eastAsia="en-GB"/>
              </w:rPr>
              <w:t>(Savin Juniper)</w:t>
            </w:r>
          </w:p>
        </w:tc>
        <w:tc>
          <w:tcPr>
            <w:tcW w:w="1701" w:type="dxa"/>
            <w:vMerge w:val="restart"/>
            <w:shd w:val="clear" w:color="auto" w:fill="EAF1DD"/>
          </w:tcPr>
          <w:p w14:paraId="3D4D6D30"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Least Concerned</w:t>
            </w:r>
          </w:p>
        </w:tc>
      </w:tr>
      <w:tr w:rsidR="000A2150" w:rsidRPr="00C75695" w14:paraId="0000CEFF" w14:textId="77777777" w:rsidTr="00FA3207">
        <w:trPr>
          <w:gridAfter w:val="1"/>
          <w:wAfter w:w="8" w:type="dxa"/>
          <w:trHeight w:val="615"/>
        </w:trPr>
        <w:tc>
          <w:tcPr>
            <w:tcW w:w="552" w:type="dxa"/>
            <w:vMerge/>
            <w:shd w:val="clear" w:color="auto" w:fill="EAF1DD"/>
          </w:tcPr>
          <w:p w14:paraId="05AD32DA" w14:textId="77777777" w:rsidR="000A2150" w:rsidRPr="00C75695" w:rsidRDefault="000A2150" w:rsidP="00FA3207">
            <w:pPr>
              <w:rPr>
                <w:color w:val="000000"/>
                <w:sz w:val="16"/>
                <w:szCs w:val="16"/>
                <w:lang w:val="en-GB" w:eastAsia="en-GB"/>
              </w:rPr>
            </w:pPr>
          </w:p>
        </w:tc>
        <w:tc>
          <w:tcPr>
            <w:tcW w:w="1134" w:type="dxa"/>
            <w:vMerge/>
            <w:tcBorders>
              <w:right w:val="single" w:sz="4" w:space="0" w:color="auto"/>
            </w:tcBorders>
            <w:shd w:val="clear" w:color="auto" w:fill="EAF1DD"/>
            <w:noWrap/>
            <w:vAlign w:val="bottom"/>
          </w:tcPr>
          <w:p w14:paraId="6084969B" w14:textId="77777777" w:rsidR="000A2150" w:rsidRPr="00C75695" w:rsidRDefault="000A2150" w:rsidP="00FA3207">
            <w:pPr>
              <w:rPr>
                <w:color w:val="000000"/>
                <w:sz w:val="16"/>
                <w:szCs w:val="16"/>
                <w:lang w:val="en-GB" w:eastAsia="en-GB"/>
              </w:rPr>
            </w:pPr>
          </w:p>
        </w:tc>
        <w:tc>
          <w:tcPr>
            <w:tcW w:w="1192" w:type="dxa"/>
            <w:vMerge/>
            <w:tcBorders>
              <w:left w:val="single" w:sz="4" w:space="0" w:color="auto"/>
              <w:right w:val="single" w:sz="4" w:space="0" w:color="auto"/>
            </w:tcBorders>
            <w:shd w:val="clear" w:color="auto" w:fill="EAF1DD"/>
            <w:vAlign w:val="bottom"/>
          </w:tcPr>
          <w:p w14:paraId="5992A81A" w14:textId="77777777" w:rsidR="000A2150" w:rsidRPr="00C75695" w:rsidRDefault="000A2150" w:rsidP="00FA3207">
            <w:pPr>
              <w:rPr>
                <w:color w:val="000000"/>
                <w:sz w:val="16"/>
                <w:szCs w:val="16"/>
                <w:lang w:val="en-GB" w:eastAsia="en-GB"/>
              </w:rPr>
            </w:pPr>
          </w:p>
        </w:tc>
        <w:tc>
          <w:tcPr>
            <w:tcW w:w="2069" w:type="dxa"/>
            <w:vMerge/>
            <w:tcBorders>
              <w:left w:val="single" w:sz="4" w:space="0" w:color="auto"/>
            </w:tcBorders>
            <w:shd w:val="clear" w:color="auto" w:fill="EAF1DD"/>
            <w:vAlign w:val="bottom"/>
          </w:tcPr>
          <w:p w14:paraId="6A47C795" w14:textId="77777777" w:rsidR="000A2150" w:rsidRPr="00C75695" w:rsidRDefault="000A2150" w:rsidP="00FA3207">
            <w:pPr>
              <w:rPr>
                <w:i/>
                <w:iCs/>
                <w:color w:val="000000"/>
                <w:sz w:val="16"/>
                <w:szCs w:val="16"/>
                <w:lang w:val="en-GB" w:eastAsia="en-GB"/>
              </w:rPr>
            </w:pPr>
          </w:p>
        </w:tc>
        <w:tc>
          <w:tcPr>
            <w:tcW w:w="1459" w:type="dxa"/>
            <w:tcBorders>
              <w:top w:val="single" w:sz="4" w:space="0" w:color="auto"/>
            </w:tcBorders>
            <w:shd w:val="clear" w:color="auto" w:fill="EAF1DD"/>
          </w:tcPr>
          <w:p w14:paraId="5EC08CAC" w14:textId="77777777" w:rsidR="000A2150" w:rsidRPr="00C75695" w:rsidRDefault="000A2150" w:rsidP="00FA3207">
            <w:pPr>
              <w:rPr>
                <w:i/>
                <w:color w:val="000000"/>
                <w:sz w:val="16"/>
                <w:szCs w:val="16"/>
                <w:lang w:val="en-GB" w:eastAsia="en-GB"/>
              </w:rPr>
            </w:pPr>
            <w:r w:rsidRPr="00C75695">
              <w:rPr>
                <w:i/>
                <w:color w:val="000000"/>
                <w:sz w:val="16"/>
                <w:szCs w:val="16"/>
                <w:lang w:val="en-GB" w:eastAsia="en-GB"/>
              </w:rPr>
              <w:t>Juniperus foetidissima</w:t>
            </w:r>
            <w:r w:rsidRPr="00C75695">
              <w:rPr>
                <w:iCs/>
                <w:color w:val="000000"/>
                <w:sz w:val="16"/>
                <w:szCs w:val="16"/>
                <w:lang w:val="en-GB" w:eastAsia="en-GB"/>
              </w:rPr>
              <w:t xml:space="preserve"> Willd. (species)</w:t>
            </w:r>
          </w:p>
        </w:tc>
        <w:tc>
          <w:tcPr>
            <w:tcW w:w="1518" w:type="dxa"/>
            <w:tcBorders>
              <w:top w:val="single" w:sz="4" w:space="0" w:color="auto"/>
            </w:tcBorders>
            <w:shd w:val="clear" w:color="auto" w:fill="EAF1DD"/>
          </w:tcPr>
          <w:p w14:paraId="1BE191C1" w14:textId="77777777" w:rsidR="000A2150" w:rsidRPr="00C75695" w:rsidRDefault="000A2150" w:rsidP="00FA3207">
            <w:pPr>
              <w:rPr>
                <w:color w:val="000000"/>
                <w:sz w:val="16"/>
                <w:szCs w:val="16"/>
                <w:lang w:val="en-GB" w:eastAsia="en-GB"/>
              </w:rPr>
            </w:pPr>
            <w:r w:rsidRPr="00C75695">
              <w:rPr>
                <w:color w:val="000000"/>
                <w:sz w:val="16"/>
                <w:szCs w:val="16"/>
                <w:lang w:val="en-GB" w:eastAsia="en-GB"/>
              </w:rPr>
              <w:t>rare</w:t>
            </w:r>
          </w:p>
        </w:tc>
        <w:tc>
          <w:tcPr>
            <w:tcW w:w="1133" w:type="dxa"/>
            <w:vMerge/>
            <w:shd w:val="clear" w:color="auto" w:fill="EAF1DD"/>
          </w:tcPr>
          <w:p w14:paraId="37A168D6" w14:textId="77777777" w:rsidR="000A2150" w:rsidRPr="00C75695" w:rsidRDefault="000A2150" w:rsidP="00FA3207">
            <w:pPr>
              <w:rPr>
                <w:color w:val="000000"/>
                <w:sz w:val="16"/>
                <w:szCs w:val="16"/>
                <w:lang w:val="en-GB" w:eastAsia="en-GB"/>
              </w:rPr>
            </w:pPr>
          </w:p>
        </w:tc>
        <w:tc>
          <w:tcPr>
            <w:tcW w:w="3970" w:type="dxa"/>
            <w:vMerge/>
            <w:shd w:val="clear" w:color="auto" w:fill="EAF1DD"/>
          </w:tcPr>
          <w:p w14:paraId="463FBDC5" w14:textId="77777777" w:rsidR="000A2150" w:rsidRPr="00C75695" w:rsidRDefault="000A2150" w:rsidP="00FA3207">
            <w:pPr>
              <w:rPr>
                <w:color w:val="000000"/>
                <w:sz w:val="16"/>
                <w:szCs w:val="16"/>
                <w:lang w:val="en-GB" w:eastAsia="en-GB"/>
              </w:rPr>
            </w:pPr>
          </w:p>
        </w:tc>
        <w:tc>
          <w:tcPr>
            <w:tcW w:w="1701" w:type="dxa"/>
            <w:vMerge/>
            <w:shd w:val="clear" w:color="auto" w:fill="EAF1DD"/>
          </w:tcPr>
          <w:p w14:paraId="16601B37" w14:textId="77777777" w:rsidR="000A2150" w:rsidRPr="00C75695" w:rsidRDefault="000A2150" w:rsidP="00FA3207">
            <w:pPr>
              <w:rPr>
                <w:color w:val="000000"/>
                <w:sz w:val="16"/>
                <w:szCs w:val="16"/>
                <w:lang w:val="en-GB" w:eastAsia="en-GB"/>
              </w:rPr>
            </w:pPr>
          </w:p>
        </w:tc>
      </w:tr>
    </w:tbl>
    <w:p w14:paraId="67BB4345" w14:textId="77777777" w:rsidR="000A2150" w:rsidRPr="003F63A1" w:rsidRDefault="000A2150" w:rsidP="003248E5">
      <w:pPr>
        <w:pStyle w:val="Paragraphenumrot"/>
        <w:numPr>
          <w:ilvl w:val="0"/>
          <w:numId w:val="0"/>
        </w:numPr>
        <w:tabs>
          <w:tab w:val="left" w:pos="720"/>
        </w:tabs>
        <w:spacing w:before="0" w:line="360" w:lineRule="auto"/>
        <w:ind w:left="720" w:hanging="720"/>
        <w:rPr>
          <w:sz w:val="26"/>
          <w:szCs w:val="26"/>
          <w:lang w:val="en-GB"/>
        </w:rPr>
        <w:sectPr w:rsidR="000A2150" w:rsidRPr="003F63A1" w:rsidSect="00131288">
          <w:pgSz w:w="16838" w:h="11906" w:orient="landscape"/>
          <w:pgMar w:top="1417" w:right="1417" w:bottom="1417" w:left="1134" w:header="708" w:footer="708" w:gutter="0"/>
          <w:cols w:space="708"/>
          <w:docGrid w:linePitch="360"/>
        </w:sectPr>
      </w:pPr>
    </w:p>
    <w:p w14:paraId="6D60C5B5" w14:textId="3EECC8CC" w:rsidR="00847B85" w:rsidRPr="003F63A1" w:rsidRDefault="00E119FF" w:rsidP="00FA3207">
      <w:pPr>
        <w:pStyle w:val="a3"/>
        <w:numPr>
          <w:ilvl w:val="0"/>
          <w:numId w:val="19"/>
        </w:numPr>
        <w:spacing w:after="120" w:line="360" w:lineRule="auto"/>
        <w:rPr>
          <w:szCs w:val="26"/>
          <w:lang w:val="en-GB"/>
        </w:rPr>
      </w:pPr>
      <w:r w:rsidRPr="003F63A1">
        <w:rPr>
          <w:szCs w:val="26"/>
          <w:lang w:val="en-GB"/>
        </w:rPr>
        <w:lastRenderedPageBreak/>
        <w:t xml:space="preserve">Concerning the issue of “non-tradability” of the 10 wood genera/species </w:t>
      </w:r>
      <w:r w:rsidR="00F22982" w:rsidRPr="003F63A1">
        <w:rPr>
          <w:szCs w:val="26"/>
          <w:lang w:val="en-GB"/>
        </w:rPr>
        <w:t>covered by the “2005 export ban”, Ukraine reiterates its argument set out at paragraph 118 of its Provisional Opening Oral Statement.</w:t>
      </w:r>
    </w:p>
    <w:p w14:paraId="0A095A56" w14:textId="0525812B" w:rsidR="001D1D98" w:rsidRPr="003F63A1" w:rsidRDefault="00F22982" w:rsidP="001D1D98">
      <w:pPr>
        <w:pStyle w:val="a3"/>
        <w:numPr>
          <w:ilvl w:val="0"/>
          <w:numId w:val="19"/>
        </w:numPr>
        <w:spacing w:after="120" w:line="360" w:lineRule="auto"/>
        <w:ind w:left="425" w:hanging="425"/>
        <w:contextualSpacing w:val="0"/>
        <w:rPr>
          <w:szCs w:val="26"/>
          <w:lang w:val="en-GB"/>
        </w:rPr>
      </w:pPr>
      <w:r w:rsidRPr="003F63A1">
        <w:rPr>
          <w:szCs w:val="26"/>
          <w:lang w:val="en-GB"/>
        </w:rPr>
        <w:t xml:space="preserve">As to the </w:t>
      </w:r>
      <w:r w:rsidR="00E119FF" w:rsidRPr="003F63A1">
        <w:rPr>
          <w:szCs w:val="26"/>
          <w:lang w:val="en-GB"/>
        </w:rPr>
        <w:t xml:space="preserve">effect </w:t>
      </w:r>
      <w:r w:rsidRPr="003F63A1">
        <w:rPr>
          <w:szCs w:val="26"/>
          <w:lang w:val="en-GB"/>
        </w:rPr>
        <w:t xml:space="preserve">of </w:t>
      </w:r>
      <w:r w:rsidR="00E119FF" w:rsidRPr="003F63A1">
        <w:rPr>
          <w:szCs w:val="26"/>
          <w:lang w:val="en-GB"/>
        </w:rPr>
        <w:t>the prohibition contained in Article 70 of the Forest Code</w:t>
      </w:r>
      <w:r w:rsidRPr="003F63A1">
        <w:rPr>
          <w:szCs w:val="26"/>
          <w:lang w:val="en-GB"/>
        </w:rPr>
        <w:t xml:space="preserve"> of Ukraine</w:t>
      </w:r>
      <w:r w:rsidR="00DC5A89" w:rsidRPr="003F63A1">
        <w:rPr>
          <w:rStyle w:val="af6"/>
          <w:szCs w:val="26"/>
          <w:lang w:val="en-GB"/>
        </w:rPr>
        <w:footnoteReference w:id="71"/>
      </w:r>
      <w:r w:rsidR="00DC5A89" w:rsidRPr="003F63A1">
        <w:rPr>
          <w:szCs w:val="26"/>
          <w:lang w:val="en-GB"/>
        </w:rPr>
        <w:t xml:space="preserve"> cited at paragraph </w:t>
      </w:r>
      <w:r w:rsidR="00DC5A89" w:rsidRPr="003F63A1">
        <w:rPr>
          <w:szCs w:val="26"/>
          <w:lang w:val="en-GB"/>
        </w:rPr>
        <w:fldChar w:fldCharType="begin"/>
      </w:r>
      <w:r w:rsidR="00DC5A89" w:rsidRPr="003F63A1">
        <w:rPr>
          <w:szCs w:val="26"/>
          <w:lang w:val="en-GB"/>
        </w:rPr>
        <w:instrText xml:space="preserve"> REF _Ref52362663 \r \h </w:instrText>
      </w:r>
      <w:r w:rsidR="003F63A1" w:rsidRPr="003F63A1">
        <w:rPr>
          <w:szCs w:val="26"/>
          <w:lang w:val="en-GB"/>
        </w:rPr>
        <w:instrText xml:space="preserve"> \* MERGEFORMAT </w:instrText>
      </w:r>
      <w:r w:rsidR="00DC5A89" w:rsidRPr="003F63A1">
        <w:rPr>
          <w:szCs w:val="26"/>
          <w:lang w:val="en-GB"/>
        </w:rPr>
      </w:r>
      <w:r w:rsidR="00DC5A89" w:rsidRPr="003F63A1">
        <w:rPr>
          <w:szCs w:val="26"/>
          <w:lang w:val="en-GB"/>
        </w:rPr>
        <w:fldChar w:fldCharType="separate"/>
      </w:r>
      <w:r w:rsidR="00DC5A89" w:rsidRPr="003F63A1">
        <w:rPr>
          <w:szCs w:val="26"/>
          <w:lang w:val="en-GB"/>
        </w:rPr>
        <w:t>79</w:t>
      </w:r>
      <w:r w:rsidR="00DC5A89" w:rsidRPr="003F63A1">
        <w:rPr>
          <w:szCs w:val="26"/>
          <w:lang w:val="en-GB"/>
        </w:rPr>
        <w:fldChar w:fldCharType="end"/>
      </w:r>
      <w:r w:rsidR="00DC5A89" w:rsidRPr="003F63A1">
        <w:rPr>
          <w:szCs w:val="26"/>
          <w:lang w:val="en-GB"/>
        </w:rPr>
        <w:t xml:space="preserve"> above</w:t>
      </w:r>
      <w:r w:rsidR="00E119FF" w:rsidRPr="003F63A1">
        <w:rPr>
          <w:szCs w:val="26"/>
          <w:lang w:val="en-GB"/>
        </w:rPr>
        <w:t xml:space="preserve">, </w:t>
      </w:r>
      <w:r w:rsidR="00DC5A89" w:rsidRPr="003F63A1">
        <w:rPr>
          <w:szCs w:val="26"/>
          <w:lang w:val="en-GB"/>
        </w:rPr>
        <w:t>t</w:t>
      </w:r>
      <w:r w:rsidR="00043EAF" w:rsidRPr="003F63A1">
        <w:rPr>
          <w:szCs w:val="26"/>
          <w:lang w:val="en-GB"/>
        </w:rPr>
        <w:t>his statute works as a logging moratorium aim</w:t>
      </w:r>
      <w:r w:rsidR="001D1D98" w:rsidRPr="003F63A1">
        <w:rPr>
          <w:szCs w:val="26"/>
          <w:lang w:val="en-GB"/>
        </w:rPr>
        <w:t xml:space="preserve">ed </w:t>
      </w:r>
      <w:r w:rsidR="00043EAF" w:rsidRPr="003F63A1">
        <w:rPr>
          <w:szCs w:val="26"/>
          <w:lang w:val="en-GB"/>
        </w:rPr>
        <w:t>at preserv</w:t>
      </w:r>
      <w:r w:rsidR="001D1D98" w:rsidRPr="003F63A1">
        <w:rPr>
          <w:szCs w:val="26"/>
          <w:lang w:val="en-GB"/>
        </w:rPr>
        <w:t xml:space="preserve">ing </w:t>
      </w:r>
      <w:r w:rsidR="00043EAF" w:rsidRPr="003F63A1">
        <w:rPr>
          <w:szCs w:val="26"/>
          <w:lang w:val="en-GB"/>
        </w:rPr>
        <w:t>threatened wood species.</w:t>
      </w:r>
      <w:r w:rsidR="001D1D98" w:rsidRPr="003F63A1">
        <w:rPr>
          <w:szCs w:val="26"/>
          <w:lang w:val="en-GB"/>
        </w:rPr>
        <w:t xml:space="preserve"> However, </w:t>
      </w:r>
      <w:r w:rsidR="00DC5A89" w:rsidRPr="003F63A1">
        <w:rPr>
          <w:szCs w:val="26"/>
          <w:lang w:val="en-GB"/>
        </w:rPr>
        <w:t>Article 70 of the Forest Code of Ukraine</w:t>
      </w:r>
      <w:r w:rsidR="00DC5A89" w:rsidRPr="003F63A1" w:rsidDel="00DC5A89">
        <w:rPr>
          <w:szCs w:val="26"/>
          <w:lang w:val="en-GB"/>
        </w:rPr>
        <w:t xml:space="preserve"> </w:t>
      </w:r>
      <w:r w:rsidR="001D1D98" w:rsidRPr="003F63A1">
        <w:rPr>
          <w:szCs w:val="26"/>
          <w:lang w:val="en-GB"/>
        </w:rPr>
        <w:t>also provides that in exceptional cases the Red Book tree and shrub species can be cut with the approval of the Ministry of Ecology and Natural Resources of Ukraine. To this end, timber harvested from threatened wood species cannot be legally placed on the market without a special permit and, therefore, no data can be legally included in the electronic timber accounting system.</w:t>
      </w:r>
    </w:p>
    <w:p w14:paraId="35BAB168" w14:textId="1CE01573" w:rsidR="001B7ED2" w:rsidRPr="003F63A1" w:rsidRDefault="001D1D98" w:rsidP="00F53FFA">
      <w:pPr>
        <w:pStyle w:val="a3"/>
        <w:numPr>
          <w:ilvl w:val="0"/>
          <w:numId w:val="19"/>
        </w:numPr>
        <w:spacing w:after="120" w:line="360" w:lineRule="auto"/>
        <w:ind w:left="425" w:hanging="425"/>
        <w:contextualSpacing w:val="0"/>
        <w:rPr>
          <w:szCs w:val="26"/>
          <w:lang w:val="en-GB"/>
        </w:rPr>
      </w:pPr>
      <w:r w:rsidRPr="003F63A1">
        <w:rPr>
          <w:szCs w:val="26"/>
          <w:lang w:val="en-GB"/>
        </w:rPr>
        <w:t xml:space="preserve">According to the Ministry of Ecology and Natural Resources of Ukraine, no such permits were issued in 2005-2019. Therefore, the effect of </w:t>
      </w:r>
      <w:r w:rsidR="00050AB4" w:rsidRPr="003F63A1">
        <w:rPr>
          <w:szCs w:val="26"/>
          <w:lang w:val="en-GB"/>
        </w:rPr>
        <w:t xml:space="preserve">the </w:t>
      </w:r>
      <w:r w:rsidRPr="003F63A1">
        <w:rPr>
          <w:szCs w:val="26"/>
          <w:lang w:val="en-GB"/>
        </w:rPr>
        <w:t>prohibition of logging valuable and rare trees listed in the Red Book of Ukraine is self-evident: no permits were issued</w:t>
      </w:r>
      <w:r w:rsidR="00386F93" w:rsidRPr="003F63A1">
        <w:rPr>
          <w:szCs w:val="26"/>
          <w:lang w:val="en-GB"/>
        </w:rPr>
        <w:t>,</w:t>
      </w:r>
      <w:r w:rsidRPr="003F63A1">
        <w:rPr>
          <w:szCs w:val="26"/>
          <w:lang w:val="en-GB"/>
        </w:rPr>
        <w:t xml:space="preserve"> meaning the Ukrainian environmental policy aimed at preserving those species works.</w:t>
      </w:r>
    </w:p>
    <w:p w14:paraId="078EED47" w14:textId="24DBC6B2" w:rsidR="008B447C" w:rsidRPr="003F63A1" w:rsidRDefault="008B447C" w:rsidP="007816B9">
      <w:pPr>
        <w:pStyle w:val="2"/>
        <w:rPr>
          <w:rFonts w:cs="Times New Roman"/>
          <w:lang w:val="en-GB"/>
        </w:rPr>
      </w:pPr>
      <w:bookmarkStart w:id="59" w:name="_Toc52886584"/>
      <w:bookmarkStart w:id="60" w:name="_Toc52896889"/>
      <w:r w:rsidRPr="003F63A1">
        <w:rPr>
          <w:rFonts w:cs="Times New Roman"/>
          <w:lang w:val="en-GB"/>
        </w:rPr>
        <w:t>Question 11</w:t>
      </w:r>
      <w:bookmarkEnd w:id="59"/>
      <w:bookmarkEnd w:id="60"/>
    </w:p>
    <w:p w14:paraId="21242276" w14:textId="1FBC3077" w:rsidR="00362F22" w:rsidRPr="003F63A1" w:rsidRDefault="008B447C" w:rsidP="00362F22">
      <w:pPr>
        <w:spacing w:after="120"/>
        <w:jc w:val="both"/>
        <w:rPr>
          <w:sz w:val="26"/>
          <w:szCs w:val="26"/>
          <w:lang w:val="en-GB"/>
        </w:rPr>
      </w:pPr>
      <w:r w:rsidRPr="003F63A1">
        <w:rPr>
          <w:b/>
          <w:bCs/>
          <w:sz w:val="26"/>
          <w:szCs w:val="26"/>
          <w:lang w:val="en-GB"/>
        </w:rPr>
        <w:t>MR Giorgio SACERDOTI</w:t>
      </w:r>
      <w:r w:rsidRPr="003F63A1">
        <w:rPr>
          <w:rStyle w:val="st"/>
          <w:sz w:val="26"/>
          <w:szCs w:val="26"/>
          <w:lang w:val="en-GB"/>
        </w:rPr>
        <w:t xml:space="preserve">: </w:t>
      </w:r>
      <w:r w:rsidRPr="003F63A1">
        <w:rPr>
          <w:sz w:val="26"/>
          <w:szCs w:val="26"/>
          <w:lang w:val="en-GB"/>
        </w:rPr>
        <w:t>“</w:t>
      </w:r>
      <w:r w:rsidR="00362F22" w:rsidRPr="003F63A1">
        <w:rPr>
          <w:sz w:val="26"/>
          <w:szCs w:val="26"/>
          <w:lang w:val="en-GB"/>
        </w:rPr>
        <w:t>This question concerns the (</w:t>
      </w:r>
      <w:r w:rsidR="00362F22" w:rsidRPr="003F63A1">
        <w:rPr>
          <w:i/>
          <w:iCs/>
          <w:sz w:val="26"/>
          <w:szCs w:val="26"/>
          <w:lang w:val="en-GB"/>
        </w:rPr>
        <w:t xml:space="preserve">unintelligible) </w:t>
      </w:r>
      <w:r w:rsidR="00362F22" w:rsidRPr="003F63A1">
        <w:rPr>
          <w:sz w:val="26"/>
          <w:szCs w:val="26"/>
          <w:lang w:val="en-GB"/>
        </w:rPr>
        <w:t>[</w:t>
      </w:r>
      <w:r w:rsidR="00C75695">
        <w:rPr>
          <w:sz w:val="26"/>
          <w:szCs w:val="26"/>
          <w:lang w:val="en-GB"/>
        </w:rPr>
        <w:t>the “</w:t>
      </w:r>
      <w:r w:rsidR="00362F22" w:rsidRPr="003F63A1">
        <w:rPr>
          <w:sz w:val="26"/>
          <w:szCs w:val="26"/>
          <w:lang w:val="en-GB"/>
        </w:rPr>
        <w:t>2005 export] ban</w:t>
      </w:r>
      <w:r w:rsidR="00C75695">
        <w:rPr>
          <w:sz w:val="26"/>
          <w:szCs w:val="26"/>
          <w:lang w:val="en-GB"/>
        </w:rPr>
        <w:t>”</w:t>
      </w:r>
      <w:r w:rsidR="00362F22" w:rsidRPr="003F63A1">
        <w:rPr>
          <w:sz w:val="26"/>
          <w:szCs w:val="26"/>
          <w:lang w:val="en-GB"/>
        </w:rPr>
        <w:t xml:space="preserve">. It is addressed to the </w:t>
      </w:r>
      <w:r w:rsidR="004C5332">
        <w:rPr>
          <w:sz w:val="26"/>
          <w:szCs w:val="26"/>
          <w:lang w:val="en-GB"/>
        </w:rPr>
        <w:t>[</w:t>
      </w:r>
      <w:r w:rsidR="003F63A1" w:rsidRPr="003F63A1">
        <w:rPr>
          <w:sz w:val="26"/>
          <w:szCs w:val="26"/>
          <w:lang w:val="en-GB"/>
        </w:rPr>
        <w:t>European Union</w:t>
      </w:r>
      <w:r w:rsidR="004C5332">
        <w:rPr>
          <w:sz w:val="26"/>
          <w:szCs w:val="26"/>
          <w:lang w:val="en-GB"/>
        </w:rPr>
        <w:t>]</w:t>
      </w:r>
      <w:r w:rsidR="00362F22" w:rsidRPr="003F63A1">
        <w:rPr>
          <w:sz w:val="26"/>
          <w:szCs w:val="26"/>
          <w:lang w:val="en-GB"/>
        </w:rPr>
        <w:t xml:space="preserve">. At paragraph 40 of your response to the Panel questions, the </w:t>
      </w:r>
      <w:r w:rsidR="004C5332">
        <w:rPr>
          <w:sz w:val="26"/>
          <w:szCs w:val="26"/>
          <w:lang w:val="en-GB"/>
        </w:rPr>
        <w:t>[</w:t>
      </w:r>
      <w:r w:rsidR="003F63A1" w:rsidRPr="003F63A1">
        <w:rPr>
          <w:sz w:val="26"/>
          <w:szCs w:val="26"/>
          <w:lang w:val="en-GB"/>
        </w:rPr>
        <w:t>European Union</w:t>
      </w:r>
      <w:r w:rsidR="004C5332">
        <w:rPr>
          <w:sz w:val="26"/>
          <w:szCs w:val="26"/>
          <w:lang w:val="en-GB"/>
        </w:rPr>
        <w:t>]</w:t>
      </w:r>
      <w:r w:rsidR="00362F22" w:rsidRPr="003F63A1">
        <w:rPr>
          <w:sz w:val="26"/>
          <w:szCs w:val="26"/>
          <w:lang w:val="en-GB"/>
        </w:rPr>
        <w:t xml:space="preserve"> indicates that you are unable to provide statistical data for the import of wood of the ten species (</w:t>
      </w:r>
      <w:r w:rsidR="00362F22" w:rsidRPr="003F63A1">
        <w:rPr>
          <w:i/>
          <w:iCs/>
          <w:sz w:val="26"/>
          <w:szCs w:val="26"/>
          <w:lang w:val="en-GB"/>
        </w:rPr>
        <w:t xml:space="preserve">unintelligible). </w:t>
      </w:r>
      <w:r w:rsidR="00362F22" w:rsidRPr="003F63A1">
        <w:rPr>
          <w:sz w:val="26"/>
          <w:szCs w:val="26"/>
          <w:lang w:val="en-GB"/>
        </w:rPr>
        <w:t xml:space="preserve">What are the reasons such as lack of detailed statistics of specific species of woods imported into the </w:t>
      </w:r>
      <w:r w:rsidR="004C5332">
        <w:rPr>
          <w:sz w:val="26"/>
          <w:szCs w:val="26"/>
          <w:lang w:val="en-GB"/>
        </w:rPr>
        <w:t>[</w:t>
      </w:r>
      <w:r w:rsidR="003F63A1" w:rsidRPr="003F63A1">
        <w:rPr>
          <w:sz w:val="26"/>
          <w:szCs w:val="26"/>
          <w:lang w:val="en-GB"/>
        </w:rPr>
        <w:t>European Union</w:t>
      </w:r>
      <w:r w:rsidR="004C5332">
        <w:rPr>
          <w:sz w:val="26"/>
          <w:szCs w:val="26"/>
          <w:lang w:val="en-GB"/>
        </w:rPr>
        <w:t>]</w:t>
      </w:r>
      <w:r w:rsidR="00362F22" w:rsidRPr="003F63A1">
        <w:rPr>
          <w:sz w:val="26"/>
          <w:szCs w:val="26"/>
          <w:lang w:val="en-GB"/>
        </w:rPr>
        <w:t xml:space="preserve"> or because small quantities are involved or there is little value economic importance of such import or what are the reasons if you know the reasons?</w:t>
      </w:r>
    </w:p>
    <w:p w14:paraId="48BADD14" w14:textId="46A73D85" w:rsidR="00362F22" w:rsidRPr="003F63A1" w:rsidRDefault="00C75695" w:rsidP="00362F22">
      <w:pPr>
        <w:spacing w:after="120"/>
        <w:jc w:val="both"/>
        <w:rPr>
          <w:sz w:val="26"/>
          <w:szCs w:val="26"/>
          <w:lang w:val="en-GB"/>
        </w:rPr>
      </w:pPr>
      <w:r>
        <w:rPr>
          <w:sz w:val="26"/>
          <w:szCs w:val="26"/>
          <w:lang w:val="en-GB"/>
        </w:rPr>
        <w:t xml:space="preserve">[…] </w:t>
      </w:r>
      <w:r w:rsidR="00362F22" w:rsidRPr="003F63A1">
        <w:rPr>
          <w:sz w:val="26"/>
          <w:szCs w:val="26"/>
          <w:lang w:val="en-GB"/>
        </w:rPr>
        <w:t>the species may not correspond to distinct tariff lines</w:t>
      </w:r>
      <w:r w:rsidRPr="003F63A1">
        <w:rPr>
          <w:sz w:val="26"/>
          <w:szCs w:val="26"/>
          <w:lang w:val="en-GB"/>
        </w:rPr>
        <w:t>”</w:t>
      </w:r>
      <w:r w:rsidR="00362F22" w:rsidRPr="003F63A1">
        <w:rPr>
          <w:sz w:val="26"/>
          <w:szCs w:val="26"/>
          <w:lang w:val="en-GB"/>
        </w:rPr>
        <w:t>.</w:t>
      </w:r>
    </w:p>
    <w:p w14:paraId="0CA9ABD5" w14:textId="119C1B1A" w:rsidR="00362F22" w:rsidRPr="003F63A1" w:rsidRDefault="00362F22" w:rsidP="00362F22">
      <w:pPr>
        <w:pStyle w:val="a3"/>
        <w:numPr>
          <w:ilvl w:val="0"/>
          <w:numId w:val="19"/>
        </w:numPr>
        <w:spacing w:after="120" w:line="360" w:lineRule="auto"/>
        <w:rPr>
          <w:szCs w:val="26"/>
          <w:lang w:val="en-GB"/>
        </w:rPr>
      </w:pPr>
      <w:r w:rsidRPr="003F63A1">
        <w:rPr>
          <w:szCs w:val="26"/>
          <w:lang w:val="en-GB"/>
        </w:rPr>
        <w:t xml:space="preserve">A question for the </w:t>
      </w:r>
      <w:r w:rsidR="003F63A1" w:rsidRPr="003F63A1">
        <w:rPr>
          <w:szCs w:val="26"/>
          <w:lang w:val="en-GB"/>
        </w:rPr>
        <w:t>European Union</w:t>
      </w:r>
      <w:r w:rsidRPr="003F63A1">
        <w:rPr>
          <w:szCs w:val="26"/>
          <w:lang w:val="en-GB"/>
        </w:rPr>
        <w:t>.</w:t>
      </w:r>
    </w:p>
    <w:p w14:paraId="6C1333DA" w14:textId="0D1D3761" w:rsidR="00FB4DB7" w:rsidRPr="003F63A1" w:rsidRDefault="00FB4DB7" w:rsidP="0055296E">
      <w:pPr>
        <w:pStyle w:val="2"/>
        <w:jc w:val="both"/>
        <w:rPr>
          <w:rFonts w:cs="Times New Roman"/>
          <w:lang w:val="en-GB"/>
        </w:rPr>
      </w:pPr>
      <w:bookmarkStart w:id="61" w:name="_Toc52886585"/>
      <w:bookmarkStart w:id="62" w:name="_Toc52896890"/>
      <w:r w:rsidRPr="003F63A1">
        <w:rPr>
          <w:rFonts w:cs="Times New Roman"/>
          <w:lang w:val="en-GB"/>
        </w:rPr>
        <w:lastRenderedPageBreak/>
        <w:t>Question 12</w:t>
      </w:r>
      <w:r w:rsidR="00DB6144" w:rsidRPr="003F63A1">
        <w:rPr>
          <w:rFonts w:cs="Times New Roman"/>
          <w:lang w:val="en-GB"/>
        </w:rPr>
        <w:t xml:space="preserve"> - Measures taken by Ukraine to combat smuggling of timber abroad</w:t>
      </w:r>
      <w:bookmarkEnd w:id="61"/>
      <w:bookmarkEnd w:id="62"/>
    </w:p>
    <w:p w14:paraId="36254622" w14:textId="2CC86E11" w:rsidR="00FB4DB7" w:rsidRPr="003F63A1" w:rsidRDefault="00FB4DB7" w:rsidP="00FB4DB7">
      <w:pPr>
        <w:spacing w:after="120"/>
        <w:jc w:val="both"/>
        <w:rPr>
          <w:sz w:val="26"/>
          <w:szCs w:val="26"/>
          <w:lang w:val="en-GB"/>
        </w:rPr>
      </w:pPr>
      <w:r w:rsidRPr="003F63A1">
        <w:rPr>
          <w:b/>
          <w:bCs/>
          <w:sz w:val="26"/>
          <w:szCs w:val="26"/>
          <w:lang w:val="en-GB"/>
        </w:rPr>
        <w:t>MR Victor MURAVIOV</w:t>
      </w:r>
      <w:r w:rsidRPr="003F63A1">
        <w:rPr>
          <w:sz w:val="26"/>
          <w:szCs w:val="26"/>
          <w:lang w:val="en-GB"/>
        </w:rPr>
        <w:t xml:space="preserve">: “I have several questions to the Ukrainian party and several to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The first question </w:t>
      </w:r>
      <w:r w:rsidR="003D7214" w:rsidRPr="003F63A1">
        <w:rPr>
          <w:sz w:val="26"/>
          <w:szCs w:val="26"/>
          <w:lang w:val="en-GB"/>
        </w:rPr>
        <w:t xml:space="preserve">is </w:t>
      </w:r>
      <w:r w:rsidRPr="003F63A1">
        <w:rPr>
          <w:sz w:val="26"/>
          <w:szCs w:val="26"/>
          <w:lang w:val="en-GB"/>
        </w:rPr>
        <w:t>to the Ukrainian party. All questions are concerning opening statements made by today and yesterday.</w:t>
      </w:r>
    </w:p>
    <w:p w14:paraId="3A401421" w14:textId="77777777" w:rsidR="00FB4DB7" w:rsidRPr="003F63A1" w:rsidRDefault="00FB4DB7" w:rsidP="00FB4DB7">
      <w:pPr>
        <w:spacing w:after="120"/>
        <w:jc w:val="both"/>
        <w:rPr>
          <w:sz w:val="26"/>
          <w:szCs w:val="26"/>
          <w:lang w:val="en-GB"/>
        </w:rPr>
      </w:pPr>
      <w:r w:rsidRPr="003F63A1">
        <w:rPr>
          <w:sz w:val="26"/>
          <w:szCs w:val="26"/>
          <w:lang w:val="en-GB"/>
        </w:rPr>
        <w:t>The first question to the Ukrainian party.</w:t>
      </w:r>
    </w:p>
    <w:p w14:paraId="074CF176" w14:textId="08980E75" w:rsidR="00FB4DB7" w:rsidRPr="003F63A1" w:rsidRDefault="00FB4DB7" w:rsidP="00FB4DB7">
      <w:pPr>
        <w:spacing w:after="120"/>
        <w:jc w:val="both"/>
        <w:rPr>
          <w:sz w:val="26"/>
          <w:szCs w:val="26"/>
          <w:lang w:val="en-GB"/>
        </w:rPr>
      </w:pPr>
      <w:r w:rsidRPr="003F63A1">
        <w:rPr>
          <w:sz w:val="26"/>
          <w:szCs w:val="26"/>
          <w:lang w:val="en-GB"/>
        </w:rPr>
        <w:t xml:space="preserve">Except for the export bans, what measures are taken by Ukraine to stop </w:t>
      </w:r>
      <w:r w:rsidR="003D7214" w:rsidRPr="003F63A1">
        <w:rPr>
          <w:sz w:val="26"/>
          <w:szCs w:val="26"/>
          <w:lang w:val="en-GB"/>
        </w:rPr>
        <w:t xml:space="preserve">the </w:t>
      </w:r>
      <w:r w:rsidRPr="003F63A1">
        <w:rPr>
          <w:sz w:val="26"/>
          <w:szCs w:val="26"/>
          <w:lang w:val="en-GB"/>
        </w:rPr>
        <w:t>smuggling of timber abroad?”</w:t>
      </w:r>
    </w:p>
    <w:p w14:paraId="13D98544" w14:textId="16E0FD7C" w:rsidR="008F5C43" w:rsidRPr="003F63A1" w:rsidRDefault="008F5C43" w:rsidP="00FB4DB7">
      <w:pPr>
        <w:pStyle w:val="a3"/>
        <w:numPr>
          <w:ilvl w:val="0"/>
          <w:numId w:val="19"/>
        </w:numPr>
        <w:spacing w:after="120" w:line="360" w:lineRule="auto"/>
        <w:rPr>
          <w:szCs w:val="26"/>
          <w:lang w:val="en-GB"/>
        </w:rPr>
      </w:pPr>
      <w:r w:rsidRPr="003F63A1">
        <w:rPr>
          <w:szCs w:val="26"/>
          <w:lang w:val="en-GB"/>
        </w:rPr>
        <w:t xml:space="preserve">To start with, smuggling of timber abroad is </w:t>
      </w:r>
      <w:r w:rsidR="00F03626" w:rsidRPr="003F63A1">
        <w:rPr>
          <w:szCs w:val="26"/>
          <w:lang w:val="en-GB"/>
        </w:rPr>
        <w:t xml:space="preserve">inevitably </w:t>
      </w:r>
      <w:r w:rsidRPr="003F63A1">
        <w:rPr>
          <w:szCs w:val="26"/>
          <w:lang w:val="en-GB"/>
        </w:rPr>
        <w:t>interconnected with illegal logging</w:t>
      </w:r>
      <w:r w:rsidR="00DE2C0A" w:rsidRPr="003F63A1">
        <w:rPr>
          <w:szCs w:val="26"/>
          <w:lang w:val="en-GB"/>
        </w:rPr>
        <w:t>, although it can be argued that legally harvested timber can still be illegally exported.</w:t>
      </w:r>
    </w:p>
    <w:p w14:paraId="0353BDA0" w14:textId="327E7B38" w:rsidR="00DE2C0A" w:rsidRPr="003F63A1" w:rsidRDefault="00DE2C0A" w:rsidP="00FB4DB7">
      <w:pPr>
        <w:pStyle w:val="a3"/>
        <w:numPr>
          <w:ilvl w:val="0"/>
          <w:numId w:val="19"/>
        </w:numPr>
        <w:spacing w:after="120" w:line="360" w:lineRule="auto"/>
        <w:rPr>
          <w:szCs w:val="26"/>
          <w:lang w:val="en-GB"/>
        </w:rPr>
      </w:pPr>
      <w:r w:rsidRPr="003F63A1">
        <w:rPr>
          <w:szCs w:val="26"/>
          <w:lang w:val="en-GB"/>
        </w:rPr>
        <w:t xml:space="preserve">As </w:t>
      </w:r>
      <w:r w:rsidR="007507C2" w:rsidRPr="003F63A1">
        <w:rPr>
          <w:szCs w:val="26"/>
          <w:lang w:val="en-GB"/>
        </w:rPr>
        <w:t xml:space="preserve">already </w:t>
      </w:r>
      <w:r w:rsidRPr="003F63A1">
        <w:rPr>
          <w:szCs w:val="26"/>
          <w:lang w:val="en-GB"/>
        </w:rPr>
        <w:t>submitted</w:t>
      </w:r>
      <w:r w:rsidR="007507C2" w:rsidRPr="003F63A1">
        <w:rPr>
          <w:szCs w:val="26"/>
          <w:lang w:val="en-GB"/>
        </w:rPr>
        <w:t>,</w:t>
      </w:r>
      <w:r w:rsidR="007507C2" w:rsidRPr="003F63A1">
        <w:rPr>
          <w:rStyle w:val="af6"/>
          <w:szCs w:val="26"/>
          <w:lang w:val="en-GB"/>
        </w:rPr>
        <w:footnoteReference w:id="72"/>
      </w:r>
      <w:r w:rsidR="007507C2" w:rsidRPr="003F63A1">
        <w:rPr>
          <w:szCs w:val="26"/>
          <w:lang w:val="en-GB"/>
        </w:rPr>
        <w:t xml:space="preserve"> one of the ongoing challenges is, of course, illegal logging and smuggling practices.</w:t>
      </w:r>
    </w:p>
    <w:p w14:paraId="02140018" w14:textId="7B4EDDF3" w:rsidR="00E76B8F" w:rsidRPr="003F63A1" w:rsidRDefault="008F5C43" w:rsidP="00FB4DB7">
      <w:pPr>
        <w:pStyle w:val="a3"/>
        <w:numPr>
          <w:ilvl w:val="0"/>
          <w:numId w:val="19"/>
        </w:numPr>
        <w:spacing w:after="120" w:line="360" w:lineRule="auto"/>
        <w:rPr>
          <w:szCs w:val="26"/>
          <w:lang w:val="en-GB"/>
        </w:rPr>
      </w:pPr>
      <w:r w:rsidRPr="003F63A1">
        <w:rPr>
          <w:szCs w:val="26"/>
          <w:lang w:val="en-GB"/>
        </w:rPr>
        <w:t>Ukraine relies on and reiterates its argument</w:t>
      </w:r>
      <w:r w:rsidRPr="003F63A1">
        <w:rPr>
          <w:rStyle w:val="af6"/>
          <w:szCs w:val="26"/>
          <w:lang w:val="en-GB"/>
        </w:rPr>
        <w:footnoteReference w:id="73"/>
      </w:r>
      <w:r w:rsidRPr="003F63A1">
        <w:rPr>
          <w:szCs w:val="26"/>
          <w:lang w:val="en-GB"/>
        </w:rPr>
        <w:t xml:space="preserve"> that the “2005 export ban” and the “2015 temporary export ban” demonstrate that Ukraine continuously strives to improve its legislation in view of the context of illegal logging and the adverse effect it has in Ukraine and Ukraine’s effort to reforest its territory.</w:t>
      </w:r>
      <w:r w:rsidR="00F03626" w:rsidRPr="003F63A1">
        <w:rPr>
          <w:szCs w:val="26"/>
          <w:lang w:val="en-GB"/>
        </w:rPr>
        <w:t xml:space="preserve"> The same can be said with regard to Ukraine’s efforts made in combating the illicit export of timber.</w:t>
      </w:r>
    </w:p>
    <w:p w14:paraId="30EE23ED" w14:textId="4C7175BD" w:rsidR="00B41913" w:rsidRPr="003F63A1" w:rsidRDefault="00B41913" w:rsidP="00FA3207">
      <w:pPr>
        <w:pStyle w:val="a3"/>
        <w:numPr>
          <w:ilvl w:val="0"/>
          <w:numId w:val="19"/>
        </w:numPr>
        <w:spacing w:after="120" w:line="360" w:lineRule="auto"/>
        <w:rPr>
          <w:szCs w:val="26"/>
          <w:lang w:val="en-GB"/>
        </w:rPr>
      </w:pPr>
      <w:r w:rsidRPr="003F63A1">
        <w:rPr>
          <w:szCs w:val="26"/>
          <w:lang w:val="en-GB"/>
        </w:rPr>
        <w:t>Therefore, a</w:t>
      </w:r>
      <w:r w:rsidR="003B78BB" w:rsidRPr="003F63A1">
        <w:rPr>
          <w:szCs w:val="26"/>
          <w:lang w:val="en-GB"/>
        </w:rPr>
        <w:t xml:space="preserve">part from introducing </w:t>
      </w:r>
      <w:r w:rsidRPr="003F63A1">
        <w:rPr>
          <w:szCs w:val="26"/>
          <w:lang w:val="en-GB"/>
        </w:rPr>
        <w:t xml:space="preserve">the “2005 export ban” and the “2015 temporary export ban”, the following measures have been taken by Ukraine to </w:t>
      </w:r>
      <w:r w:rsidR="00FB2EB2" w:rsidRPr="003F63A1">
        <w:rPr>
          <w:szCs w:val="26"/>
          <w:lang w:val="en-GB"/>
        </w:rPr>
        <w:t xml:space="preserve">combat </w:t>
      </w:r>
      <w:r w:rsidRPr="003F63A1">
        <w:rPr>
          <w:szCs w:val="26"/>
          <w:lang w:val="en-GB"/>
        </w:rPr>
        <w:t>smuggling of timber abroad:</w:t>
      </w:r>
    </w:p>
    <w:p w14:paraId="1ABC905D" w14:textId="38591630" w:rsidR="00BD714E" w:rsidRPr="003F63A1" w:rsidRDefault="00C22D9B" w:rsidP="0055432C">
      <w:pPr>
        <w:pStyle w:val="a3"/>
        <w:numPr>
          <w:ilvl w:val="1"/>
          <w:numId w:val="19"/>
        </w:numPr>
        <w:spacing w:after="120" w:line="360" w:lineRule="auto"/>
        <w:rPr>
          <w:szCs w:val="26"/>
          <w:lang w:val="en-GB"/>
        </w:rPr>
      </w:pPr>
      <w:r w:rsidRPr="003F63A1">
        <w:rPr>
          <w:szCs w:val="26"/>
          <w:lang w:val="en-GB"/>
        </w:rPr>
        <w:t xml:space="preserve">Imposing </w:t>
      </w:r>
      <w:r w:rsidR="00FB2EB2" w:rsidRPr="003F63A1">
        <w:rPr>
          <w:szCs w:val="26"/>
          <w:lang w:val="en-GB"/>
        </w:rPr>
        <w:t xml:space="preserve">a duty </w:t>
      </w:r>
      <w:r w:rsidRPr="003F63A1">
        <w:rPr>
          <w:szCs w:val="26"/>
          <w:lang w:val="en-GB"/>
        </w:rPr>
        <w:t xml:space="preserve">on </w:t>
      </w:r>
      <w:r w:rsidR="00FB2EB2" w:rsidRPr="003F63A1">
        <w:rPr>
          <w:szCs w:val="26"/>
          <w:lang w:val="en-GB"/>
        </w:rPr>
        <w:t xml:space="preserve">all forest users that harvest timber </w:t>
      </w:r>
      <w:r w:rsidR="000F6F0A" w:rsidRPr="003F63A1">
        <w:rPr>
          <w:szCs w:val="26"/>
          <w:lang w:val="en-GB"/>
        </w:rPr>
        <w:t xml:space="preserve">to </w:t>
      </w:r>
      <w:r w:rsidRPr="003F63A1">
        <w:rPr>
          <w:szCs w:val="26"/>
          <w:lang w:val="en-GB"/>
        </w:rPr>
        <w:t>submit data about timber harvested and sold to the electronic timber accounting system</w:t>
      </w:r>
      <w:r w:rsidRPr="003F63A1">
        <w:rPr>
          <w:rStyle w:val="af6"/>
          <w:szCs w:val="26"/>
          <w:lang w:val="en-GB"/>
        </w:rPr>
        <w:footnoteReference w:id="74"/>
      </w:r>
      <w:r w:rsidR="0055432C" w:rsidRPr="003F63A1">
        <w:rPr>
          <w:szCs w:val="26"/>
          <w:lang w:val="en-GB"/>
        </w:rPr>
        <w:t>, i.e. making the use of this system mandatory</w:t>
      </w:r>
      <w:r w:rsidR="00B64FBC" w:rsidRPr="003F63A1">
        <w:rPr>
          <w:szCs w:val="26"/>
          <w:lang w:val="en-GB"/>
        </w:rPr>
        <w:t>.</w:t>
      </w:r>
      <w:r w:rsidR="00B64FBC" w:rsidRPr="003F63A1">
        <w:rPr>
          <w:rStyle w:val="af6"/>
          <w:szCs w:val="26"/>
          <w:lang w:val="en-GB"/>
        </w:rPr>
        <w:footnoteReference w:id="75"/>
      </w:r>
      <w:r w:rsidR="00B64FBC" w:rsidRPr="003F63A1">
        <w:rPr>
          <w:szCs w:val="26"/>
          <w:lang w:val="en-GB"/>
        </w:rPr>
        <w:t xml:space="preserve"> </w:t>
      </w:r>
      <w:r w:rsidR="001A3E5D" w:rsidRPr="003F63A1">
        <w:rPr>
          <w:szCs w:val="26"/>
          <w:lang w:val="en-GB"/>
        </w:rPr>
        <w:t>This means that the transportation</w:t>
      </w:r>
      <w:r w:rsidR="00BD714E" w:rsidRPr="003F63A1">
        <w:rPr>
          <w:szCs w:val="26"/>
          <w:lang w:val="en-GB"/>
        </w:rPr>
        <w:t xml:space="preserve"> and usage of unregistered timber </w:t>
      </w:r>
      <w:r w:rsidR="003D7214" w:rsidRPr="003F63A1">
        <w:rPr>
          <w:szCs w:val="26"/>
          <w:lang w:val="en-GB"/>
        </w:rPr>
        <w:t xml:space="preserve">are </w:t>
      </w:r>
      <w:r w:rsidR="00BD714E" w:rsidRPr="003F63A1">
        <w:rPr>
          <w:szCs w:val="26"/>
          <w:lang w:val="en-GB"/>
        </w:rPr>
        <w:t>illegal</w:t>
      </w:r>
      <w:r w:rsidR="00B13D6B" w:rsidRPr="003F63A1">
        <w:rPr>
          <w:szCs w:val="26"/>
          <w:lang w:val="en-GB"/>
        </w:rPr>
        <w:t xml:space="preserve"> (e.g. the police </w:t>
      </w:r>
      <w:r w:rsidR="00B13D6B" w:rsidRPr="003F63A1">
        <w:rPr>
          <w:szCs w:val="26"/>
          <w:lang w:val="en-GB"/>
        </w:rPr>
        <w:lastRenderedPageBreak/>
        <w:t>can check a licence plate of a car transporting timber and see whether the timber is in the system; if not, it is assumed that it was harvested illegally)</w:t>
      </w:r>
      <w:r w:rsidR="00D02822" w:rsidRPr="003F63A1">
        <w:rPr>
          <w:szCs w:val="26"/>
          <w:lang w:val="en-GB"/>
        </w:rPr>
        <w:t>.</w:t>
      </w:r>
    </w:p>
    <w:p w14:paraId="0A1814AC" w14:textId="51CB6B0D" w:rsidR="00D02822" w:rsidRPr="003F63A1" w:rsidRDefault="00D02822" w:rsidP="00D02822">
      <w:pPr>
        <w:pStyle w:val="a3"/>
        <w:numPr>
          <w:ilvl w:val="1"/>
          <w:numId w:val="19"/>
        </w:numPr>
        <w:spacing w:after="120" w:line="360" w:lineRule="auto"/>
        <w:rPr>
          <w:szCs w:val="26"/>
          <w:lang w:val="en-GB"/>
        </w:rPr>
      </w:pPr>
      <w:r w:rsidRPr="003F63A1">
        <w:rPr>
          <w:szCs w:val="26"/>
          <w:lang w:val="en-GB"/>
        </w:rPr>
        <w:t xml:space="preserve">Increasing penalties for illegal logging in terms of administrative and criminal liability </w:t>
      </w:r>
      <w:r w:rsidR="009D1C35" w:rsidRPr="003F63A1">
        <w:rPr>
          <w:szCs w:val="26"/>
          <w:lang w:val="en-GB"/>
        </w:rPr>
        <w:t xml:space="preserve">and introducing </w:t>
      </w:r>
      <w:r w:rsidRPr="003F63A1">
        <w:rPr>
          <w:szCs w:val="26"/>
          <w:lang w:val="en-GB"/>
        </w:rPr>
        <w:t xml:space="preserve">a separate criminal offence for illicit export of </w:t>
      </w:r>
      <w:r w:rsidR="009D1C35" w:rsidRPr="003F63A1">
        <w:rPr>
          <w:szCs w:val="26"/>
          <w:lang w:val="en-GB"/>
        </w:rPr>
        <w:t xml:space="preserve">(a) </w:t>
      </w:r>
      <w:r w:rsidRPr="003F63A1">
        <w:rPr>
          <w:szCs w:val="26"/>
          <w:lang w:val="en-GB"/>
        </w:rPr>
        <w:t>timber and sawn wood from valuable and rare wood species listed in Article 1 of Law No. 2860-IV</w:t>
      </w:r>
      <w:r w:rsidRPr="003F63A1">
        <w:rPr>
          <w:szCs w:val="26"/>
          <w:vertAlign w:val="superscript"/>
          <w:lang w:val="en-GB"/>
        </w:rPr>
        <w:footnoteReference w:id="76"/>
      </w:r>
      <w:r w:rsidRPr="003F63A1">
        <w:rPr>
          <w:szCs w:val="26"/>
          <w:lang w:val="en-GB"/>
        </w:rPr>
        <w:t xml:space="preserve"> and </w:t>
      </w:r>
      <w:r w:rsidR="009D1C35" w:rsidRPr="003F63A1">
        <w:rPr>
          <w:szCs w:val="26"/>
          <w:lang w:val="en-GB"/>
        </w:rPr>
        <w:t xml:space="preserve">(b) </w:t>
      </w:r>
      <w:r w:rsidRPr="003F63A1">
        <w:rPr>
          <w:szCs w:val="26"/>
          <w:lang w:val="en-GB"/>
        </w:rPr>
        <w:t>unprocessed timber</w:t>
      </w:r>
      <w:r w:rsidR="009D1C35" w:rsidRPr="003F63A1">
        <w:rPr>
          <w:szCs w:val="26"/>
          <w:lang w:val="en-GB"/>
        </w:rPr>
        <w:t>.</w:t>
      </w:r>
      <w:r w:rsidRPr="003F63A1">
        <w:rPr>
          <w:szCs w:val="26"/>
          <w:vertAlign w:val="superscript"/>
          <w:lang w:val="en-GB"/>
        </w:rPr>
        <w:footnoteReference w:id="77"/>
      </w:r>
    </w:p>
    <w:p w14:paraId="7C94989C" w14:textId="56FD7B17" w:rsidR="00C120F6" w:rsidRPr="003F63A1" w:rsidRDefault="00C120F6" w:rsidP="00FA3207">
      <w:pPr>
        <w:pStyle w:val="a3"/>
        <w:numPr>
          <w:ilvl w:val="1"/>
          <w:numId w:val="19"/>
        </w:numPr>
        <w:spacing w:after="120" w:line="360" w:lineRule="auto"/>
        <w:rPr>
          <w:szCs w:val="26"/>
          <w:lang w:val="en-GB"/>
        </w:rPr>
      </w:pPr>
      <w:r w:rsidRPr="003F63A1">
        <w:rPr>
          <w:szCs w:val="26"/>
          <w:lang w:val="en-GB"/>
        </w:rPr>
        <w:t xml:space="preserve">Shifting </w:t>
      </w:r>
      <w:r w:rsidR="004D1491" w:rsidRPr="003F63A1">
        <w:rPr>
          <w:szCs w:val="26"/>
          <w:lang w:val="en-GB"/>
        </w:rPr>
        <w:t xml:space="preserve">to European standards for </w:t>
      </w:r>
      <w:r w:rsidRPr="003F63A1">
        <w:rPr>
          <w:szCs w:val="26"/>
          <w:lang w:val="en-GB"/>
        </w:rPr>
        <w:t>the classification and measurement of timber and sawn wood</w:t>
      </w:r>
      <w:r w:rsidR="00C15541" w:rsidRPr="003F63A1">
        <w:rPr>
          <w:szCs w:val="26"/>
          <w:lang w:val="en-GB"/>
        </w:rPr>
        <w:t xml:space="preserve"> in January 2019</w:t>
      </w:r>
      <w:r w:rsidR="00B94E55" w:rsidRPr="003F63A1">
        <w:rPr>
          <w:szCs w:val="26"/>
          <w:lang w:val="en-GB"/>
        </w:rPr>
        <w:t>. According to old Ukrainian standards, all commercial wood (roundwood) was divided into three grades (I, II, III) and had a</w:t>
      </w:r>
      <w:r w:rsidR="00977555" w:rsidRPr="003F63A1">
        <w:rPr>
          <w:szCs w:val="26"/>
          <w:lang w:val="en-GB"/>
        </w:rPr>
        <w:t xml:space="preserve"> number of assortments depending on the purpose of use of a given wood. </w:t>
      </w:r>
      <w:r w:rsidR="00C15541" w:rsidRPr="003F63A1">
        <w:rPr>
          <w:szCs w:val="26"/>
          <w:lang w:val="en-GB"/>
        </w:rPr>
        <w:t>Now</w:t>
      </w:r>
      <w:r w:rsidR="002F445D" w:rsidRPr="003F63A1">
        <w:rPr>
          <w:szCs w:val="26"/>
          <w:lang w:val="en-GB"/>
        </w:rPr>
        <w:t xml:space="preserve">, all commercial wood </w:t>
      </w:r>
      <w:r w:rsidR="00C15541" w:rsidRPr="003F63A1">
        <w:rPr>
          <w:szCs w:val="26"/>
          <w:lang w:val="en-GB"/>
        </w:rPr>
        <w:t xml:space="preserve">is </w:t>
      </w:r>
      <w:r w:rsidR="002F445D" w:rsidRPr="003F63A1">
        <w:rPr>
          <w:szCs w:val="26"/>
          <w:lang w:val="en-GB"/>
        </w:rPr>
        <w:t xml:space="preserve">divided into four quality classes (A, B, C, D) as in European countries and has no timber assortments depending on the purpose of use of a given wood. This shift to </w:t>
      </w:r>
      <w:r w:rsidR="003D7214" w:rsidRPr="003F63A1">
        <w:rPr>
          <w:szCs w:val="26"/>
          <w:lang w:val="en-GB"/>
        </w:rPr>
        <w:t xml:space="preserve">the </w:t>
      </w:r>
      <w:r w:rsidR="002F445D" w:rsidRPr="003F63A1">
        <w:rPr>
          <w:szCs w:val="26"/>
          <w:lang w:val="en-GB"/>
        </w:rPr>
        <w:t xml:space="preserve">European standards has made </w:t>
      </w:r>
      <w:r w:rsidR="003D7214" w:rsidRPr="003F63A1">
        <w:rPr>
          <w:szCs w:val="26"/>
          <w:lang w:val="en-GB"/>
        </w:rPr>
        <w:t xml:space="preserve">it </w:t>
      </w:r>
      <w:r w:rsidR="007A082E" w:rsidRPr="003F63A1">
        <w:rPr>
          <w:szCs w:val="26"/>
          <w:lang w:val="en-GB"/>
        </w:rPr>
        <w:t>impossible to differentiate the allocation of quality categories in Ukraine and the European Union</w:t>
      </w:r>
      <w:r w:rsidR="00C15541" w:rsidRPr="003F63A1">
        <w:rPr>
          <w:szCs w:val="26"/>
          <w:lang w:val="en-GB"/>
        </w:rPr>
        <w:t xml:space="preserve">. The transition to those standards </w:t>
      </w:r>
      <w:r w:rsidR="008678A5" w:rsidRPr="003F63A1">
        <w:rPr>
          <w:szCs w:val="26"/>
          <w:lang w:val="en-GB"/>
        </w:rPr>
        <w:t xml:space="preserve">has been </w:t>
      </w:r>
      <w:r w:rsidR="00C15541" w:rsidRPr="003F63A1">
        <w:rPr>
          <w:szCs w:val="26"/>
          <w:lang w:val="en-GB"/>
        </w:rPr>
        <w:t>introduced</w:t>
      </w:r>
      <w:r w:rsidR="008678A5" w:rsidRPr="003F63A1">
        <w:rPr>
          <w:szCs w:val="26"/>
          <w:lang w:val="en-GB"/>
        </w:rPr>
        <w:t>, inter alia, to prevent</w:t>
      </w:r>
      <w:r w:rsidR="003D7214" w:rsidRPr="003F63A1">
        <w:rPr>
          <w:szCs w:val="26"/>
          <w:lang w:val="en-GB"/>
        </w:rPr>
        <w:t xml:space="preserve"> the</w:t>
      </w:r>
      <w:r w:rsidR="008678A5" w:rsidRPr="003F63A1">
        <w:rPr>
          <w:szCs w:val="26"/>
          <w:lang w:val="en-GB"/>
        </w:rPr>
        <w:t xml:space="preserve"> illegal export of timber</w:t>
      </w:r>
      <w:r w:rsidR="00C15541" w:rsidRPr="003F63A1">
        <w:rPr>
          <w:szCs w:val="26"/>
          <w:lang w:val="en-GB"/>
        </w:rPr>
        <w:t>.</w:t>
      </w:r>
      <w:r w:rsidR="00C15541" w:rsidRPr="003F63A1">
        <w:rPr>
          <w:rStyle w:val="af6"/>
          <w:szCs w:val="26"/>
          <w:lang w:val="en-GB"/>
        </w:rPr>
        <w:footnoteReference w:id="78"/>
      </w:r>
    </w:p>
    <w:p w14:paraId="56CB307E" w14:textId="20334FCE" w:rsidR="00584256" w:rsidRPr="003F63A1" w:rsidRDefault="00C63DE4" w:rsidP="00E4226B">
      <w:pPr>
        <w:pStyle w:val="a3"/>
        <w:numPr>
          <w:ilvl w:val="1"/>
          <w:numId w:val="19"/>
        </w:numPr>
        <w:spacing w:after="120" w:line="360" w:lineRule="auto"/>
        <w:rPr>
          <w:szCs w:val="26"/>
          <w:lang w:val="en-GB"/>
        </w:rPr>
      </w:pPr>
      <w:r w:rsidRPr="003F63A1">
        <w:rPr>
          <w:szCs w:val="26"/>
          <w:lang w:val="en-GB"/>
        </w:rPr>
        <w:t>Recognising</w:t>
      </w:r>
      <w:r w:rsidR="00403B69" w:rsidRPr="003F63A1">
        <w:rPr>
          <w:rStyle w:val="af6"/>
          <w:szCs w:val="26"/>
          <w:lang w:val="en-GB"/>
        </w:rPr>
        <w:footnoteReference w:id="79"/>
      </w:r>
      <w:r w:rsidRPr="003F63A1">
        <w:rPr>
          <w:szCs w:val="26"/>
          <w:lang w:val="en-GB"/>
        </w:rPr>
        <w:t xml:space="preserve"> independent management timber certification schemes </w:t>
      </w:r>
      <w:r w:rsidR="00D95230" w:rsidRPr="003F63A1">
        <w:rPr>
          <w:szCs w:val="26"/>
          <w:lang w:val="en-GB"/>
        </w:rPr>
        <w:t>as</w:t>
      </w:r>
      <w:r w:rsidR="00B8539F" w:rsidRPr="003F63A1">
        <w:rPr>
          <w:szCs w:val="26"/>
          <w:lang w:val="en-GB"/>
        </w:rPr>
        <w:t xml:space="preserve"> one of the </w:t>
      </w:r>
      <w:r w:rsidR="00E4226B" w:rsidRPr="003F63A1">
        <w:rPr>
          <w:szCs w:val="26"/>
          <w:lang w:val="en-GB"/>
        </w:rPr>
        <w:t>mechanism</w:t>
      </w:r>
      <w:r w:rsidR="00B8539F" w:rsidRPr="003F63A1">
        <w:rPr>
          <w:szCs w:val="26"/>
          <w:lang w:val="en-GB"/>
        </w:rPr>
        <w:t>s</w:t>
      </w:r>
      <w:r w:rsidR="00E4226B" w:rsidRPr="003F63A1">
        <w:rPr>
          <w:szCs w:val="26"/>
          <w:lang w:val="en-GB"/>
        </w:rPr>
        <w:t xml:space="preserve"> </w:t>
      </w:r>
      <w:r w:rsidR="00D95230" w:rsidRPr="003F63A1">
        <w:rPr>
          <w:szCs w:val="26"/>
          <w:lang w:val="en-GB"/>
        </w:rPr>
        <w:t xml:space="preserve">to </w:t>
      </w:r>
      <w:r w:rsidR="00B8539F" w:rsidRPr="003F63A1">
        <w:rPr>
          <w:i/>
          <w:iCs/>
          <w:szCs w:val="26"/>
          <w:lang w:val="en-GB"/>
        </w:rPr>
        <w:t xml:space="preserve">prima facie </w:t>
      </w:r>
      <w:r w:rsidR="00D95230" w:rsidRPr="003F63A1">
        <w:rPr>
          <w:szCs w:val="26"/>
          <w:lang w:val="en-GB"/>
        </w:rPr>
        <w:t xml:space="preserve">cut down unsustainable and illegal logging. In Ukraine, these practices are carried out by </w:t>
      </w:r>
      <w:r w:rsidRPr="003F63A1">
        <w:rPr>
          <w:szCs w:val="26"/>
          <w:lang w:val="en-GB"/>
        </w:rPr>
        <w:t>the Forest Stewardship Council</w:t>
      </w:r>
      <w:r w:rsidR="00D95230" w:rsidRPr="003F63A1">
        <w:rPr>
          <w:szCs w:val="26"/>
          <w:lang w:val="en-GB"/>
        </w:rPr>
        <w:t xml:space="preserve">. </w:t>
      </w:r>
      <w:r w:rsidR="00E4226B" w:rsidRPr="003F63A1">
        <w:rPr>
          <w:szCs w:val="26"/>
          <w:lang w:val="en-GB"/>
        </w:rPr>
        <w:t>A</w:t>
      </w:r>
      <w:r w:rsidR="00584256" w:rsidRPr="003F63A1">
        <w:rPr>
          <w:szCs w:val="26"/>
          <w:lang w:val="en-GB"/>
        </w:rPr>
        <w:t>s of 1 August 2020</w:t>
      </w:r>
      <w:r w:rsidR="00BF2ABE" w:rsidRPr="003F63A1">
        <w:rPr>
          <w:szCs w:val="26"/>
          <w:lang w:val="en-GB"/>
        </w:rPr>
        <w:t xml:space="preserve">, around 45% of the total area of forest lands in Ukraine are </w:t>
      </w:r>
      <w:r w:rsidR="00584256" w:rsidRPr="003F63A1">
        <w:rPr>
          <w:szCs w:val="26"/>
          <w:lang w:val="en-GB"/>
        </w:rPr>
        <w:t>certified in accordance with FSC forest management and chain of custody certification.</w:t>
      </w:r>
      <w:r w:rsidR="00584256" w:rsidRPr="003F63A1">
        <w:rPr>
          <w:szCs w:val="26"/>
          <w:vertAlign w:val="superscript"/>
          <w:lang w:val="en-GB"/>
        </w:rPr>
        <w:footnoteReference w:id="80"/>
      </w:r>
    </w:p>
    <w:p w14:paraId="01604D3F" w14:textId="0AD8F8CF" w:rsidR="00CC5A2A" w:rsidRPr="003F63A1" w:rsidRDefault="00B8539F" w:rsidP="004575FF">
      <w:pPr>
        <w:pStyle w:val="a3"/>
        <w:numPr>
          <w:ilvl w:val="1"/>
          <w:numId w:val="19"/>
        </w:numPr>
        <w:spacing w:after="120" w:line="360" w:lineRule="auto"/>
        <w:rPr>
          <w:szCs w:val="26"/>
          <w:lang w:val="en-GB"/>
        </w:rPr>
      </w:pPr>
      <w:r w:rsidRPr="003F63A1">
        <w:rPr>
          <w:szCs w:val="26"/>
          <w:lang w:val="en-GB"/>
        </w:rPr>
        <w:lastRenderedPageBreak/>
        <w:t xml:space="preserve">Introducing transparency </w:t>
      </w:r>
      <w:r w:rsidR="002F2BD9" w:rsidRPr="003F63A1">
        <w:rPr>
          <w:szCs w:val="26"/>
          <w:lang w:val="en-GB"/>
        </w:rPr>
        <w:t>to how Ukrainian timber is harvested</w:t>
      </w:r>
      <w:r w:rsidR="00CC5A2A" w:rsidRPr="003F63A1">
        <w:rPr>
          <w:szCs w:val="26"/>
          <w:lang w:val="en-GB"/>
        </w:rPr>
        <w:t xml:space="preserve"> and sold by </w:t>
      </w:r>
      <w:r w:rsidR="00A10E04" w:rsidRPr="003F63A1">
        <w:rPr>
          <w:szCs w:val="26"/>
          <w:lang w:val="en-GB"/>
        </w:rPr>
        <w:t xml:space="preserve">way of </w:t>
      </w:r>
      <w:r w:rsidR="00CC5A2A" w:rsidRPr="003F63A1">
        <w:rPr>
          <w:szCs w:val="26"/>
          <w:lang w:val="en-GB"/>
        </w:rPr>
        <w:t xml:space="preserve">granting </w:t>
      </w:r>
      <w:r w:rsidR="006C385A" w:rsidRPr="003F63A1">
        <w:rPr>
          <w:szCs w:val="26"/>
          <w:lang w:val="en-GB"/>
        </w:rPr>
        <w:t xml:space="preserve">the </w:t>
      </w:r>
      <w:r w:rsidR="00CC5A2A" w:rsidRPr="003F63A1">
        <w:rPr>
          <w:szCs w:val="26"/>
          <w:lang w:val="en-GB"/>
        </w:rPr>
        <w:t>general public access to data that is contained in the electronic timber accounting system</w:t>
      </w:r>
      <w:r w:rsidR="00180680" w:rsidRPr="003F63A1">
        <w:rPr>
          <w:rStyle w:val="af6"/>
          <w:szCs w:val="26"/>
          <w:lang w:val="en-GB"/>
        </w:rPr>
        <w:footnoteReference w:id="81"/>
      </w:r>
      <w:r w:rsidR="00CC5A2A" w:rsidRPr="003F63A1">
        <w:rPr>
          <w:szCs w:val="26"/>
          <w:lang w:val="en-GB"/>
        </w:rPr>
        <w:t xml:space="preserve"> </w:t>
      </w:r>
      <w:r w:rsidR="00507FE3" w:rsidRPr="003F63A1">
        <w:rPr>
          <w:szCs w:val="26"/>
          <w:lang w:val="en-GB"/>
        </w:rPr>
        <w:t xml:space="preserve">(see also paragraph </w:t>
      </w:r>
      <w:r w:rsidR="00507FE3" w:rsidRPr="003F63A1">
        <w:rPr>
          <w:szCs w:val="26"/>
          <w:lang w:val="en-GB"/>
        </w:rPr>
        <w:fldChar w:fldCharType="begin"/>
      </w:r>
      <w:r w:rsidR="00507FE3" w:rsidRPr="003F63A1">
        <w:rPr>
          <w:szCs w:val="26"/>
          <w:lang w:val="en-GB"/>
        </w:rPr>
        <w:instrText xml:space="preserve"> REF _Ref52299998 \r \h </w:instrText>
      </w:r>
      <w:r w:rsidR="003F63A1" w:rsidRPr="003F63A1">
        <w:rPr>
          <w:szCs w:val="26"/>
          <w:lang w:val="en-GB"/>
        </w:rPr>
        <w:instrText xml:space="preserve"> \* MERGEFORMAT </w:instrText>
      </w:r>
      <w:r w:rsidR="00507FE3" w:rsidRPr="003F63A1">
        <w:rPr>
          <w:szCs w:val="26"/>
          <w:lang w:val="en-GB"/>
        </w:rPr>
      </w:r>
      <w:r w:rsidR="00507FE3" w:rsidRPr="003F63A1">
        <w:rPr>
          <w:szCs w:val="26"/>
          <w:lang w:val="en-GB"/>
        </w:rPr>
        <w:fldChar w:fldCharType="separate"/>
      </w:r>
      <w:r w:rsidR="00507FE3" w:rsidRPr="003F63A1">
        <w:rPr>
          <w:szCs w:val="26"/>
          <w:lang w:val="en-GB"/>
        </w:rPr>
        <w:t>36</w:t>
      </w:r>
      <w:r w:rsidR="00507FE3" w:rsidRPr="003F63A1">
        <w:rPr>
          <w:szCs w:val="26"/>
          <w:lang w:val="en-GB"/>
        </w:rPr>
        <w:fldChar w:fldCharType="end"/>
      </w:r>
      <w:r w:rsidR="00507FE3" w:rsidRPr="003F63A1">
        <w:rPr>
          <w:szCs w:val="26"/>
          <w:lang w:val="en-GB"/>
        </w:rPr>
        <w:t xml:space="preserve"> above)</w:t>
      </w:r>
      <w:r w:rsidR="00C1286C" w:rsidRPr="003F63A1">
        <w:rPr>
          <w:szCs w:val="26"/>
          <w:lang w:val="en-GB"/>
        </w:rPr>
        <w:t>.</w:t>
      </w:r>
    </w:p>
    <w:p w14:paraId="62BB6F9C" w14:textId="38162193" w:rsidR="00C72AC8" w:rsidRPr="003F63A1" w:rsidRDefault="00C72AC8" w:rsidP="00F53FFA">
      <w:pPr>
        <w:pStyle w:val="a3"/>
        <w:numPr>
          <w:ilvl w:val="1"/>
          <w:numId w:val="19"/>
        </w:numPr>
        <w:spacing w:after="120" w:line="360" w:lineRule="auto"/>
        <w:rPr>
          <w:szCs w:val="26"/>
          <w:lang w:val="en-GB"/>
        </w:rPr>
      </w:pPr>
      <w:r w:rsidRPr="003F63A1">
        <w:rPr>
          <w:szCs w:val="26"/>
          <w:lang w:val="en-GB"/>
        </w:rPr>
        <w:t>Increasing forest security measures. According to Article 86 of the Forest Code of Ukraine,</w:t>
      </w:r>
      <w:r w:rsidRPr="003F63A1">
        <w:rPr>
          <w:szCs w:val="26"/>
          <w:vertAlign w:val="superscript"/>
          <w:lang w:val="en-GB"/>
        </w:rPr>
        <w:footnoteReference w:id="82"/>
      </w:r>
      <w:r w:rsidRPr="003F63A1">
        <w:rPr>
          <w:szCs w:val="26"/>
          <w:lang w:val="en-GB"/>
        </w:rPr>
        <w:t xml:space="preserve"> the State Forest </w:t>
      </w:r>
      <w:r w:rsidR="00AE7710" w:rsidRPr="003F63A1">
        <w:rPr>
          <w:rFonts w:eastAsia="TimesNewRomanPS"/>
          <w:szCs w:val="26"/>
        </w:rPr>
        <w:t>Resources</w:t>
      </w:r>
      <w:r w:rsidR="00AE7710" w:rsidRPr="003F63A1">
        <w:rPr>
          <w:szCs w:val="26"/>
          <w:lang w:val="en-GB"/>
        </w:rPr>
        <w:t xml:space="preserve"> </w:t>
      </w:r>
      <w:r w:rsidRPr="003F63A1">
        <w:rPr>
          <w:szCs w:val="26"/>
          <w:lang w:val="en-GB"/>
        </w:rPr>
        <w:t>Agency of Ukraine, as well as forest owners and permanent forest users, must ensure security and protection of forests to prevent, inter alia, illegal logging. To ensure the proper protection from forest offence, 810 mobile raid groups have been established in state forest enterprises to patrol the forest areas on special vehicles equipped with GPS systems.</w:t>
      </w:r>
      <w:r w:rsidRPr="003F63A1">
        <w:rPr>
          <w:szCs w:val="26"/>
          <w:vertAlign w:val="superscript"/>
          <w:lang w:val="en-GB"/>
        </w:rPr>
        <w:footnoteReference w:id="83"/>
      </w:r>
    </w:p>
    <w:p w14:paraId="461221AA" w14:textId="5DC48A05" w:rsidR="008140D4" w:rsidRPr="003F63A1" w:rsidRDefault="008140D4" w:rsidP="00577F64">
      <w:pPr>
        <w:pStyle w:val="2"/>
        <w:jc w:val="both"/>
        <w:rPr>
          <w:rFonts w:cs="Times New Roman"/>
          <w:lang w:val="en-GB"/>
        </w:rPr>
      </w:pPr>
      <w:bookmarkStart w:id="63" w:name="_Toc52886586"/>
      <w:bookmarkStart w:id="64" w:name="_Toc52896891"/>
      <w:r w:rsidRPr="003F63A1">
        <w:rPr>
          <w:rFonts w:cs="Times New Roman"/>
          <w:lang w:val="en-GB"/>
        </w:rPr>
        <w:t>Question 13</w:t>
      </w:r>
      <w:r w:rsidR="00BA0493" w:rsidRPr="003F63A1">
        <w:rPr>
          <w:rFonts w:cs="Times New Roman"/>
          <w:lang w:val="en-GB"/>
        </w:rPr>
        <w:t xml:space="preserve"> – </w:t>
      </w:r>
      <w:r w:rsidR="13349585" w:rsidRPr="003F63A1">
        <w:rPr>
          <w:rFonts w:cs="Times New Roman"/>
          <w:lang w:val="en-GB"/>
        </w:rPr>
        <w:t>Regarding</w:t>
      </w:r>
      <w:r w:rsidR="00BA0493" w:rsidRPr="003F63A1">
        <w:rPr>
          <w:rFonts w:cs="Times New Roman"/>
          <w:lang w:val="en-GB"/>
        </w:rPr>
        <w:t xml:space="preserve"> duration of the “2015 temporary export ban”</w:t>
      </w:r>
      <w:r w:rsidR="00577F64" w:rsidRPr="003F63A1">
        <w:rPr>
          <w:rFonts w:cs="Times New Roman"/>
          <w:lang w:val="en-GB"/>
        </w:rPr>
        <w:t xml:space="preserve">, </w:t>
      </w:r>
      <w:r w:rsidR="00BA0493" w:rsidRPr="003F63A1">
        <w:rPr>
          <w:rFonts w:cs="Times New Roman"/>
          <w:lang w:val="en-GB"/>
        </w:rPr>
        <w:t>reforestation of Ukrainian forests</w:t>
      </w:r>
      <w:r w:rsidR="00577F64" w:rsidRPr="003F63A1">
        <w:rPr>
          <w:rFonts w:cs="Times New Roman"/>
          <w:lang w:val="en-GB"/>
        </w:rPr>
        <w:t>, and the 25 million cubic meters consumption plan</w:t>
      </w:r>
      <w:bookmarkEnd w:id="63"/>
      <w:bookmarkEnd w:id="64"/>
    </w:p>
    <w:p w14:paraId="6EC338F4" w14:textId="4FAC7693" w:rsidR="00632A30" w:rsidRPr="003F63A1" w:rsidRDefault="008140D4" w:rsidP="00632A30">
      <w:pPr>
        <w:spacing w:after="120"/>
        <w:jc w:val="both"/>
        <w:rPr>
          <w:sz w:val="26"/>
          <w:szCs w:val="26"/>
          <w:lang w:val="en-GB"/>
        </w:rPr>
      </w:pPr>
      <w:r w:rsidRPr="003F63A1">
        <w:rPr>
          <w:b/>
          <w:bCs/>
          <w:sz w:val="26"/>
          <w:szCs w:val="26"/>
          <w:lang w:val="en-GB"/>
        </w:rPr>
        <w:t>MR Victor MURAVIOV</w:t>
      </w:r>
      <w:r w:rsidRPr="003F63A1">
        <w:rPr>
          <w:sz w:val="26"/>
          <w:szCs w:val="26"/>
          <w:lang w:val="en-GB"/>
        </w:rPr>
        <w:t>: “The second question. Can you tell us how many years are required to renew the sterling forest cover after deforestation and to guarantee more sustainable forest resources?</w:t>
      </w:r>
    </w:p>
    <w:p w14:paraId="264DD01A" w14:textId="021BFB32" w:rsidR="00632A30" w:rsidRPr="003F63A1" w:rsidRDefault="00632A30" w:rsidP="00632A30">
      <w:pPr>
        <w:spacing w:after="120"/>
        <w:jc w:val="both"/>
        <w:rPr>
          <w:sz w:val="26"/>
          <w:szCs w:val="26"/>
          <w:lang w:val="en-GB"/>
        </w:rPr>
      </w:pPr>
      <w:r w:rsidRPr="003F63A1">
        <w:rPr>
          <w:sz w:val="26"/>
          <w:szCs w:val="26"/>
          <w:lang w:val="en-GB"/>
        </w:rPr>
        <w:t>[…]</w:t>
      </w:r>
    </w:p>
    <w:p w14:paraId="41400603" w14:textId="14C5ADBB" w:rsidR="00632A30" w:rsidRPr="003F63A1" w:rsidRDefault="00632A30" w:rsidP="00632A30">
      <w:pPr>
        <w:spacing w:after="120"/>
        <w:jc w:val="both"/>
        <w:rPr>
          <w:sz w:val="26"/>
          <w:szCs w:val="26"/>
          <w:lang w:val="en-GB"/>
        </w:rPr>
      </w:pPr>
      <w:r w:rsidRPr="003F63A1">
        <w:rPr>
          <w:sz w:val="26"/>
          <w:szCs w:val="26"/>
          <w:lang w:val="en-GB"/>
        </w:rPr>
        <w:t xml:space="preserve">Next question related to the previous one. What were the reasons for the introduction of the </w:t>
      </w:r>
      <w:r w:rsidR="00C75695">
        <w:rPr>
          <w:sz w:val="26"/>
          <w:szCs w:val="26"/>
          <w:lang w:val="en-GB"/>
        </w:rPr>
        <w:t>“</w:t>
      </w:r>
      <w:r w:rsidRPr="003F63A1">
        <w:rPr>
          <w:sz w:val="26"/>
          <w:szCs w:val="26"/>
          <w:lang w:val="en-GB"/>
        </w:rPr>
        <w:t>2015 temporary export ban</w:t>
      </w:r>
      <w:r w:rsidR="00C75695">
        <w:rPr>
          <w:sz w:val="26"/>
          <w:szCs w:val="26"/>
          <w:lang w:val="en-GB"/>
        </w:rPr>
        <w:t>”</w:t>
      </w:r>
      <w:r w:rsidRPr="003F63A1">
        <w:rPr>
          <w:sz w:val="26"/>
          <w:szCs w:val="26"/>
          <w:lang w:val="en-GB"/>
        </w:rPr>
        <w:t xml:space="preserve"> on </w:t>
      </w:r>
      <w:r w:rsidR="00AC1AF2" w:rsidRPr="003F63A1">
        <w:rPr>
          <w:sz w:val="26"/>
          <w:szCs w:val="26"/>
          <w:lang w:val="en-GB"/>
        </w:rPr>
        <w:t>un</w:t>
      </w:r>
      <w:r w:rsidRPr="003F63A1">
        <w:rPr>
          <w:sz w:val="26"/>
          <w:szCs w:val="26"/>
          <w:lang w:val="en-GB"/>
        </w:rPr>
        <w:t>processed timber just for 10 years? Can one expect that further prolongation of the ban after the termination of 10 years moratory?</w:t>
      </w:r>
    </w:p>
    <w:p w14:paraId="790A485B" w14:textId="77777777" w:rsidR="00632A30" w:rsidRPr="003F63A1" w:rsidRDefault="00632A30" w:rsidP="00632A30">
      <w:pPr>
        <w:spacing w:after="120"/>
        <w:jc w:val="both"/>
        <w:rPr>
          <w:sz w:val="26"/>
          <w:szCs w:val="26"/>
          <w:lang w:val="en-GB"/>
        </w:rPr>
      </w:pPr>
      <w:r w:rsidRPr="003F63A1">
        <w:rPr>
          <w:sz w:val="26"/>
          <w:szCs w:val="26"/>
          <w:lang w:val="en-GB"/>
        </w:rPr>
        <w:t>[…]</w:t>
      </w:r>
    </w:p>
    <w:p w14:paraId="07FA5CCC" w14:textId="77777777" w:rsidR="006712DB" w:rsidRPr="003F63A1" w:rsidRDefault="00632A30" w:rsidP="00632A30">
      <w:pPr>
        <w:spacing w:after="120"/>
        <w:jc w:val="both"/>
        <w:rPr>
          <w:sz w:val="26"/>
          <w:szCs w:val="26"/>
          <w:lang w:val="en-GB"/>
        </w:rPr>
      </w:pPr>
      <w:r w:rsidRPr="003F63A1">
        <w:rPr>
          <w:sz w:val="26"/>
          <w:szCs w:val="26"/>
          <w:lang w:val="en-GB"/>
        </w:rPr>
        <w:t>What about possible prolongation of the ban?</w:t>
      </w:r>
    </w:p>
    <w:p w14:paraId="263DFAA5" w14:textId="5CD536E7" w:rsidR="006712DB" w:rsidRPr="003F63A1" w:rsidRDefault="006712DB" w:rsidP="00632A30">
      <w:pPr>
        <w:spacing w:after="120"/>
        <w:jc w:val="both"/>
        <w:rPr>
          <w:sz w:val="26"/>
          <w:szCs w:val="26"/>
          <w:lang w:val="en-GB"/>
        </w:rPr>
      </w:pPr>
      <w:r w:rsidRPr="003F63A1">
        <w:rPr>
          <w:sz w:val="26"/>
          <w:szCs w:val="26"/>
          <w:lang w:val="en-GB"/>
        </w:rPr>
        <w:t>[…]</w:t>
      </w:r>
    </w:p>
    <w:p w14:paraId="7AA836B9" w14:textId="3E64A88F" w:rsidR="006712DB" w:rsidRPr="003F63A1" w:rsidRDefault="006712DB" w:rsidP="00632A30">
      <w:pPr>
        <w:spacing w:after="120"/>
        <w:jc w:val="both"/>
        <w:rPr>
          <w:sz w:val="26"/>
          <w:szCs w:val="26"/>
          <w:lang w:val="en-GB"/>
        </w:rPr>
      </w:pPr>
      <w:r w:rsidRPr="003F63A1">
        <w:rPr>
          <w:sz w:val="26"/>
          <w:szCs w:val="26"/>
          <w:lang w:val="en-GB"/>
        </w:rPr>
        <w:t xml:space="preserve">MR HÄBERLI: [clarifying question] In the opening statement Ukraine this morning said that this was automatically lapsing the </w:t>
      </w:r>
      <w:r w:rsidR="00C75695">
        <w:rPr>
          <w:sz w:val="26"/>
          <w:szCs w:val="26"/>
          <w:lang w:val="en-GB"/>
        </w:rPr>
        <w:t>“</w:t>
      </w:r>
      <w:r w:rsidRPr="003F63A1">
        <w:rPr>
          <w:sz w:val="26"/>
          <w:szCs w:val="26"/>
          <w:lang w:val="en-GB"/>
        </w:rPr>
        <w:t>temporary ban</w:t>
      </w:r>
      <w:r w:rsidR="00C75695">
        <w:rPr>
          <w:sz w:val="26"/>
          <w:szCs w:val="26"/>
          <w:lang w:val="en-GB"/>
        </w:rPr>
        <w:t>”</w:t>
      </w:r>
      <w:r w:rsidRPr="003F63A1">
        <w:rPr>
          <w:sz w:val="26"/>
          <w:szCs w:val="26"/>
          <w:lang w:val="en-GB"/>
        </w:rPr>
        <w:t xml:space="preserve"> and I was wondering what automatic means. That is maybe written into the law or into the government decision, but can the government or the parliament change their mind and say well, maybe, we need another 10 years. Is that possible theoretically? And I want to remember also that I have seen a letter from vice-minister of Ukraine and the </w:t>
      </w:r>
      <w:r w:rsidR="003F63A1" w:rsidRPr="003F63A1">
        <w:rPr>
          <w:sz w:val="26"/>
          <w:szCs w:val="26"/>
          <w:lang w:val="en-GB"/>
        </w:rPr>
        <w:lastRenderedPageBreak/>
        <w:t>European Union</w:t>
      </w:r>
      <w:r w:rsidRPr="003F63A1">
        <w:rPr>
          <w:sz w:val="26"/>
          <w:szCs w:val="26"/>
          <w:lang w:val="en-GB"/>
        </w:rPr>
        <w:t xml:space="preserve"> submission that was committing Ukraine to stop the ban when the Association Agreement would enter into force. </w:t>
      </w:r>
      <w:r w:rsidR="00C75695">
        <w:rPr>
          <w:sz w:val="26"/>
          <w:szCs w:val="26"/>
          <w:lang w:val="en-GB"/>
        </w:rPr>
        <w:t>[…]</w:t>
      </w:r>
      <w:r w:rsidRPr="003F63A1">
        <w:rPr>
          <w:sz w:val="26"/>
          <w:szCs w:val="26"/>
          <w:lang w:val="en-GB"/>
        </w:rPr>
        <w:t xml:space="preserve"> But maybe, Ukraine, you want to answer what automatic means and whether there is a possibility that somewhere high up in the hierarchy, government or parliament or president, this automatic lapse could change?</w:t>
      </w:r>
    </w:p>
    <w:p w14:paraId="0912813B" w14:textId="2C08C18E" w:rsidR="006712DB" w:rsidRPr="003F63A1" w:rsidRDefault="006712DB" w:rsidP="00632A30">
      <w:pPr>
        <w:spacing w:after="120"/>
        <w:jc w:val="both"/>
        <w:rPr>
          <w:sz w:val="26"/>
          <w:szCs w:val="26"/>
          <w:lang w:val="en-GB"/>
        </w:rPr>
      </w:pPr>
      <w:r w:rsidRPr="003F63A1">
        <w:rPr>
          <w:sz w:val="26"/>
          <w:szCs w:val="26"/>
          <w:lang w:val="en-GB"/>
        </w:rPr>
        <w:t>[…]</w:t>
      </w:r>
    </w:p>
    <w:p w14:paraId="03BCA963" w14:textId="39F58777" w:rsidR="008140D4" w:rsidRPr="003F63A1" w:rsidRDefault="006712DB" w:rsidP="00632A30">
      <w:pPr>
        <w:spacing w:after="120"/>
        <w:jc w:val="both"/>
        <w:rPr>
          <w:sz w:val="26"/>
          <w:szCs w:val="26"/>
          <w:lang w:val="en-GB"/>
        </w:rPr>
      </w:pPr>
      <w:r w:rsidRPr="003F63A1">
        <w:rPr>
          <w:sz w:val="26"/>
          <w:szCs w:val="26"/>
          <w:lang w:val="en-GB"/>
        </w:rPr>
        <w:t xml:space="preserve">MR MURAVIOV: If the law of 2018 is capable </w:t>
      </w:r>
      <w:r w:rsidR="00833B16" w:rsidRPr="003F63A1">
        <w:rPr>
          <w:sz w:val="26"/>
          <w:szCs w:val="26"/>
          <w:lang w:val="en-GB"/>
        </w:rPr>
        <w:t xml:space="preserve">of </w:t>
      </w:r>
      <w:r w:rsidRPr="003F63A1">
        <w:rPr>
          <w:sz w:val="26"/>
          <w:szCs w:val="26"/>
          <w:lang w:val="en-GB"/>
        </w:rPr>
        <w:t>impos</w:t>
      </w:r>
      <w:r w:rsidR="00833B16" w:rsidRPr="003F63A1">
        <w:rPr>
          <w:sz w:val="26"/>
          <w:szCs w:val="26"/>
          <w:lang w:val="en-GB"/>
        </w:rPr>
        <w:t>ing</w:t>
      </w:r>
      <w:r w:rsidRPr="003F63A1">
        <w:rPr>
          <w:sz w:val="26"/>
          <w:szCs w:val="26"/>
          <w:lang w:val="en-GB"/>
        </w:rPr>
        <w:t xml:space="preserve"> real and actual restrictions on domestic consumption</w:t>
      </w:r>
      <w:r w:rsidR="00F03B2B" w:rsidRPr="003F63A1">
        <w:rPr>
          <w:sz w:val="26"/>
          <w:szCs w:val="26"/>
          <w:lang w:val="en-GB"/>
        </w:rPr>
        <w:t xml:space="preserve"> destined </w:t>
      </w:r>
      <w:r w:rsidRPr="003F63A1">
        <w:rPr>
          <w:sz w:val="26"/>
          <w:szCs w:val="26"/>
          <w:lang w:val="en-GB"/>
        </w:rPr>
        <w:t>for the domestic market and why?</w:t>
      </w:r>
      <w:r w:rsidR="008140D4" w:rsidRPr="003F63A1">
        <w:rPr>
          <w:sz w:val="26"/>
          <w:szCs w:val="26"/>
          <w:lang w:val="en-GB"/>
        </w:rPr>
        <w:t>”</w:t>
      </w:r>
    </w:p>
    <w:p w14:paraId="0AAA309F" w14:textId="6236F172" w:rsidR="0079032A" w:rsidRPr="003F63A1" w:rsidRDefault="00514BD1" w:rsidP="00E240D5">
      <w:pPr>
        <w:pStyle w:val="a3"/>
        <w:numPr>
          <w:ilvl w:val="0"/>
          <w:numId w:val="19"/>
        </w:numPr>
        <w:spacing w:after="120" w:line="360" w:lineRule="auto"/>
        <w:rPr>
          <w:szCs w:val="26"/>
          <w:lang w:val="en-GB"/>
        </w:rPr>
      </w:pPr>
      <w:r w:rsidRPr="003F63A1">
        <w:rPr>
          <w:szCs w:val="26"/>
          <w:lang w:val="en-GB"/>
        </w:rPr>
        <w:t xml:space="preserve">Ukraine notes that these questions either have already been put to Ukraine </w:t>
      </w:r>
      <w:r w:rsidR="0079032A" w:rsidRPr="003F63A1">
        <w:rPr>
          <w:szCs w:val="26"/>
          <w:lang w:val="en-GB"/>
        </w:rPr>
        <w:t xml:space="preserve">as a part of the First List of Questions </w:t>
      </w:r>
      <w:r w:rsidR="00EB2D4A" w:rsidRPr="003F63A1">
        <w:rPr>
          <w:szCs w:val="26"/>
          <w:lang w:val="en-GB"/>
        </w:rPr>
        <w:t>(namely, Q</w:t>
      </w:r>
      <w:r w:rsidR="00DA3555" w:rsidRPr="003F63A1">
        <w:rPr>
          <w:szCs w:val="26"/>
          <w:lang w:val="en-GB"/>
        </w:rPr>
        <w:t xml:space="preserve">s. </w:t>
      </w:r>
      <w:r w:rsidR="00EB2D4A" w:rsidRPr="003F63A1">
        <w:rPr>
          <w:szCs w:val="26"/>
          <w:lang w:val="en-GB"/>
        </w:rPr>
        <w:t>Nos. 9</w:t>
      </w:r>
      <w:r w:rsidR="00C74D6E" w:rsidRPr="003F63A1">
        <w:rPr>
          <w:szCs w:val="26"/>
          <w:lang w:val="en-GB"/>
        </w:rPr>
        <w:t xml:space="preserve"> and </w:t>
      </w:r>
      <w:r w:rsidR="00EB2D4A" w:rsidRPr="003F63A1">
        <w:rPr>
          <w:szCs w:val="26"/>
          <w:lang w:val="en-GB"/>
        </w:rPr>
        <w:t>27)</w:t>
      </w:r>
      <w:r w:rsidR="00C74D6E" w:rsidRPr="003F63A1">
        <w:rPr>
          <w:szCs w:val="26"/>
          <w:lang w:val="en-GB"/>
        </w:rPr>
        <w:t xml:space="preserve"> or are covered by Arbitration Panel’s </w:t>
      </w:r>
      <w:r w:rsidR="00C75695">
        <w:rPr>
          <w:szCs w:val="26"/>
          <w:lang w:val="en-GB"/>
        </w:rPr>
        <w:t>S</w:t>
      </w:r>
      <w:r w:rsidR="00C74D6E" w:rsidRPr="003F63A1">
        <w:rPr>
          <w:szCs w:val="26"/>
          <w:lang w:val="en-GB"/>
        </w:rPr>
        <w:t xml:space="preserve">uggestions for </w:t>
      </w:r>
      <w:r w:rsidR="00C75695">
        <w:rPr>
          <w:szCs w:val="26"/>
          <w:lang w:val="en-GB"/>
        </w:rPr>
        <w:t>I</w:t>
      </w:r>
      <w:r w:rsidR="00C74D6E" w:rsidRPr="003F63A1">
        <w:rPr>
          <w:szCs w:val="26"/>
          <w:lang w:val="en-GB"/>
        </w:rPr>
        <w:t xml:space="preserve">ssues to be </w:t>
      </w:r>
      <w:r w:rsidR="00C75695">
        <w:rPr>
          <w:szCs w:val="26"/>
          <w:lang w:val="en-GB"/>
        </w:rPr>
        <w:t>A</w:t>
      </w:r>
      <w:r w:rsidR="00C74D6E" w:rsidRPr="003F63A1">
        <w:rPr>
          <w:szCs w:val="26"/>
          <w:lang w:val="en-GB"/>
        </w:rPr>
        <w:t xml:space="preserve">ddressed </w:t>
      </w:r>
      <w:r w:rsidR="00C75695">
        <w:rPr>
          <w:szCs w:val="26"/>
          <w:lang w:val="en-GB"/>
        </w:rPr>
        <w:t>in</w:t>
      </w:r>
      <w:r w:rsidR="00C74D6E" w:rsidRPr="003F63A1">
        <w:rPr>
          <w:szCs w:val="26"/>
          <w:lang w:val="en-GB"/>
        </w:rPr>
        <w:t xml:space="preserve"> the </w:t>
      </w:r>
      <w:r w:rsidR="00C75695">
        <w:rPr>
          <w:szCs w:val="26"/>
          <w:lang w:val="en-GB"/>
        </w:rPr>
        <w:t>H</w:t>
      </w:r>
      <w:r w:rsidR="00C74D6E" w:rsidRPr="003F63A1">
        <w:rPr>
          <w:szCs w:val="26"/>
          <w:lang w:val="en-GB"/>
        </w:rPr>
        <w:t>earings (</w:t>
      </w:r>
      <w:r w:rsidR="003E5401" w:rsidRPr="003F63A1">
        <w:rPr>
          <w:szCs w:val="26"/>
          <w:lang w:val="en-GB"/>
        </w:rPr>
        <w:t xml:space="preserve">namely, </w:t>
      </w:r>
      <w:r w:rsidR="00C74D6E" w:rsidRPr="003F63A1">
        <w:rPr>
          <w:szCs w:val="26"/>
          <w:lang w:val="en-GB"/>
        </w:rPr>
        <w:t>Issues Nos. 24</w:t>
      </w:r>
      <w:r w:rsidR="000A41AA" w:rsidRPr="003F63A1">
        <w:rPr>
          <w:szCs w:val="26"/>
          <w:lang w:val="en-GB"/>
        </w:rPr>
        <w:t xml:space="preserve">, </w:t>
      </w:r>
      <w:r w:rsidR="00162639" w:rsidRPr="003F63A1">
        <w:rPr>
          <w:szCs w:val="26"/>
          <w:lang w:val="en-GB"/>
        </w:rPr>
        <w:t>36 and 37</w:t>
      </w:r>
      <w:r w:rsidR="00C74D6E" w:rsidRPr="003F63A1">
        <w:rPr>
          <w:szCs w:val="26"/>
          <w:lang w:val="en-GB"/>
        </w:rPr>
        <w:t>)</w:t>
      </w:r>
      <w:r w:rsidR="00162639" w:rsidRPr="003F63A1">
        <w:rPr>
          <w:szCs w:val="26"/>
          <w:lang w:val="en-GB"/>
        </w:rPr>
        <w:t>.</w:t>
      </w:r>
    </w:p>
    <w:p w14:paraId="481249C6" w14:textId="1E342089" w:rsidR="00F5353A" w:rsidRPr="003F63A1" w:rsidRDefault="00F5353A" w:rsidP="00F5353A">
      <w:pPr>
        <w:pStyle w:val="3"/>
        <w:rPr>
          <w:rFonts w:cs="Times New Roman"/>
          <w:szCs w:val="26"/>
          <w:lang w:val="en-GB"/>
        </w:rPr>
      </w:pPr>
      <w:bookmarkStart w:id="65" w:name="_Toc52886587"/>
      <w:bookmarkStart w:id="66" w:name="_Toc52896892"/>
      <w:r w:rsidRPr="003F63A1">
        <w:rPr>
          <w:rFonts w:cs="Times New Roman"/>
          <w:szCs w:val="26"/>
          <w:lang w:val="en-GB"/>
        </w:rPr>
        <w:t>A - Forest restoration period</w:t>
      </w:r>
      <w:bookmarkEnd w:id="65"/>
      <w:bookmarkEnd w:id="66"/>
    </w:p>
    <w:p w14:paraId="56D91A0B" w14:textId="77777777" w:rsidR="004F7A09" w:rsidRPr="003F63A1" w:rsidRDefault="00610EDA" w:rsidP="00DB47C5">
      <w:pPr>
        <w:pStyle w:val="a3"/>
        <w:numPr>
          <w:ilvl w:val="0"/>
          <w:numId w:val="19"/>
        </w:numPr>
        <w:spacing w:after="120" w:line="360" w:lineRule="auto"/>
        <w:rPr>
          <w:szCs w:val="26"/>
          <w:lang w:val="en-GB"/>
        </w:rPr>
      </w:pPr>
      <w:r w:rsidRPr="003F63A1">
        <w:rPr>
          <w:szCs w:val="26"/>
          <w:lang w:val="en-GB"/>
        </w:rPr>
        <w:t xml:space="preserve">On the forest restoration period </w:t>
      </w:r>
      <w:r w:rsidR="009F7DBE" w:rsidRPr="003F63A1">
        <w:rPr>
          <w:szCs w:val="26"/>
          <w:lang w:val="en-GB"/>
        </w:rPr>
        <w:t xml:space="preserve">to meet sustainable forest management, </w:t>
      </w:r>
      <w:r w:rsidR="00531C5B" w:rsidRPr="003F63A1">
        <w:rPr>
          <w:szCs w:val="26"/>
          <w:lang w:val="en-GB"/>
        </w:rPr>
        <w:t xml:space="preserve">Ukraine relies on and reiterates its arguments </w:t>
      </w:r>
      <w:r w:rsidR="009F7DBE" w:rsidRPr="003F63A1">
        <w:rPr>
          <w:szCs w:val="26"/>
          <w:lang w:val="en-GB"/>
        </w:rPr>
        <w:t xml:space="preserve">made by responding </w:t>
      </w:r>
      <w:r w:rsidRPr="003F63A1">
        <w:rPr>
          <w:szCs w:val="26"/>
          <w:lang w:val="en-GB"/>
        </w:rPr>
        <w:t xml:space="preserve">to Question No. 9 </w:t>
      </w:r>
      <w:r w:rsidR="009F7DBE" w:rsidRPr="003F63A1">
        <w:rPr>
          <w:szCs w:val="26"/>
          <w:lang w:val="en-GB"/>
        </w:rPr>
        <w:t xml:space="preserve">of </w:t>
      </w:r>
      <w:r w:rsidRPr="003F63A1">
        <w:rPr>
          <w:szCs w:val="26"/>
          <w:lang w:val="en-GB"/>
        </w:rPr>
        <w:t>the First List of Questions</w:t>
      </w:r>
      <w:r w:rsidRPr="003F63A1">
        <w:rPr>
          <w:rStyle w:val="af6"/>
          <w:szCs w:val="26"/>
          <w:lang w:val="en-GB"/>
        </w:rPr>
        <w:footnoteReference w:id="84"/>
      </w:r>
      <w:r w:rsidR="004F7A09" w:rsidRPr="003F63A1">
        <w:rPr>
          <w:szCs w:val="26"/>
          <w:lang w:val="en-GB"/>
        </w:rPr>
        <w:t>:</w:t>
      </w:r>
    </w:p>
    <w:p w14:paraId="55011824" w14:textId="77777777" w:rsidR="004F7A09" w:rsidRPr="003F63A1" w:rsidRDefault="009F7DBE" w:rsidP="004F7A09">
      <w:pPr>
        <w:pStyle w:val="a3"/>
        <w:numPr>
          <w:ilvl w:val="1"/>
          <w:numId w:val="19"/>
        </w:numPr>
        <w:spacing w:after="120" w:line="360" w:lineRule="auto"/>
        <w:rPr>
          <w:szCs w:val="26"/>
          <w:lang w:val="en-GB"/>
        </w:rPr>
      </w:pPr>
      <w:r w:rsidRPr="003F63A1">
        <w:rPr>
          <w:szCs w:val="26"/>
          <w:lang w:val="en-GB"/>
        </w:rPr>
        <w:t xml:space="preserve">The first </w:t>
      </w:r>
      <w:r w:rsidR="008F03EC" w:rsidRPr="003F63A1">
        <w:rPr>
          <w:szCs w:val="26"/>
          <w:lang w:val="en-GB"/>
        </w:rPr>
        <w:t xml:space="preserve">argument </w:t>
      </w:r>
      <w:r w:rsidR="00E54B29" w:rsidRPr="003F63A1">
        <w:rPr>
          <w:szCs w:val="26"/>
          <w:lang w:val="en-GB"/>
        </w:rPr>
        <w:t xml:space="preserve">relates to </w:t>
      </w:r>
      <w:r w:rsidR="008F03EC" w:rsidRPr="003F63A1">
        <w:rPr>
          <w:szCs w:val="26"/>
          <w:lang w:val="en-GB"/>
        </w:rPr>
        <w:t>a</w:t>
      </w:r>
      <w:r w:rsidR="00006A86" w:rsidRPr="003F63A1">
        <w:rPr>
          <w:szCs w:val="26"/>
          <w:lang w:val="en-GB"/>
        </w:rPr>
        <w:t xml:space="preserve"> </w:t>
      </w:r>
      <w:r w:rsidR="00A019E2" w:rsidRPr="003F63A1">
        <w:rPr>
          <w:szCs w:val="26"/>
          <w:lang w:val="en-GB"/>
        </w:rPr>
        <w:t xml:space="preserve">general </w:t>
      </w:r>
      <w:r w:rsidR="00006A86" w:rsidRPr="003F63A1">
        <w:rPr>
          <w:szCs w:val="26"/>
          <w:lang w:val="en-GB"/>
        </w:rPr>
        <w:t xml:space="preserve">statutory </w:t>
      </w:r>
      <w:r w:rsidR="004F4F51" w:rsidRPr="003F63A1">
        <w:rPr>
          <w:szCs w:val="26"/>
          <w:lang w:val="en-GB"/>
        </w:rPr>
        <w:t>duty of</w:t>
      </w:r>
      <w:r w:rsidR="00006A86" w:rsidRPr="003F63A1">
        <w:rPr>
          <w:szCs w:val="26"/>
          <w:lang w:val="en-GB"/>
        </w:rPr>
        <w:t xml:space="preserve"> </w:t>
      </w:r>
      <w:r w:rsidR="004F4F51" w:rsidRPr="003F63A1">
        <w:rPr>
          <w:szCs w:val="26"/>
          <w:lang w:val="en-GB"/>
        </w:rPr>
        <w:t>all forest users (i.e. forest owners and permanent forest users)</w:t>
      </w:r>
      <w:r w:rsidR="004F4F51" w:rsidRPr="003F63A1">
        <w:rPr>
          <w:rStyle w:val="af6"/>
          <w:szCs w:val="26"/>
          <w:lang w:val="en-GB"/>
        </w:rPr>
        <w:footnoteReference w:id="85"/>
      </w:r>
      <w:r w:rsidR="00A019E2" w:rsidRPr="003F63A1">
        <w:rPr>
          <w:szCs w:val="26"/>
          <w:lang w:val="en-GB"/>
        </w:rPr>
        <w:t xml:space="preserve"> to carry out reforestation of forests. To clarify, a particular forest land </w:t>
      </w:r>
      <w:r w:rsidR="00A67C21" w:rsidRPr="003F63A1">
        <w:rPr>
          <w:szCs w:val="26"/>
          <w:lang w:val="en-GB"/>
        </w:rPr>
        <w:t xml:space="preserve">plot covered by forest can be deforested either by way of human </w:t>
      </w:r>
      <w:r w:rsidR="00042B90" w:rsidRPr="003F63A1">
        <w:rPr>
          <w:szCs w:val="26"/>
          <w:lang w:val="en-GB"/>
        </w:rPr>
        <w:t xml:space="preserve">industrial </w:t>
      </w:r>
      <w:r w:rsidR="00A67C21" w:rsidRPr="003F63A1">
        <w:rPr>
          <w:szCs w:val="26"/>
          <w:lang w:val="en-GB"/>
        </w:rPr>
        <w:t>activity (i.e. timber logging</w:t>
      </w:r>
      <w:r w:rsidR="00042B90" w:rsidRPr="003F63A1">
        <w:rPr>
          <w:szCs w:val="26"/>
          <w:lang w:val="en-GB"/>
        </w:rPr>
        <w:t xml:space="preserve"> regardless of its legality) or </w:t>
      </w:r>
      <w:r w:rsidR="008F03EC" w:rsidRPr="003F63A1">
        <w:rPr>
          <w:szCs w:val="26"/>
          <w:lang w:val="en-GB"/>
        </w:rPr>
        <w:t xml:space="preserve">natural disasters (e.g. floods, fires, etc.). </w:t>
      </w:r>
      <w:r w:rsidR="008F03EC" w:rsidRPr="003F63A1">
        <w:rPr>
          <w:szCs w:val="26"/>
          <w:lang w:val="en-US"/>
        </w:rPr>
        <w:t>Article 80 of the Forest Code of Ukraine</w:t>
      </w:r>
      <w:r w:rsidR="008F03EC" w:rsidRPr="003F63A1">
        <w:rPr>
          <w:rStyle w:val="af6"/>
          <w:szCs w:val="26"/>
          <w:lang w:val="en-US"/>
        </w:rPr>
        <w:footnoteReference w:id="86"/>
      </w:r>
      <w:r w:rsidR="008F03EC" w:rsidRPr="003F63A1">
        <w:rPr>
          <w:szCs w:val="26"/>
          <w:lang w:val="en-US"/>
        </w:rPr>
        <w:t xml:space="preserve"> sets </w:t>
      </w:r>
      <w:r w:rsidR="00EF0E48" w:rsidRPr="003F63A1">
        <w:rPr>
          <w:szCs w:val="26"/>
          <w:lang w:val="en-US"/>
        </w:rPr>
        <w:t xml:space="preserve">a 2-year </w:t>
      </w:r>
      <w:r w:rsidR="008F03EC" w:rsidRPr="003F63A1">
        <w:rPr>
          <w:szCs w:val="26"/>
          <w:lang w:val="en-US"/>
        </w:rPr>
        <w:t xml:space="preserve">time limit </w:t>
      </w:r>
      <w:r w:rsidR="00EF0E48" w:rsidRPr="003F63A1">
        <w:rPr>
          <w:szCs w:val="26"/>
          <w:lang w:val="en-US"/>
        </w:rPr>
        <w:t>for reforestation of a particular forest land plot which was covered by forest.</w:t>
      </w:r>
    </w:p>
    <w:p w14:paraId="514CD143" w14:textId="70D98252" w:rsidR="00006A86" w:rsidRPr="003F63A1" w:rsidRDefault="00FD46BA" w:rsidP="004F7A09">
      <w:pPr>
        <w:pStyle w:val="a3"/>
        <w:numPr>
          <w:ilvl w:val="1"/>
          <w:numId w:val="19"/>
        </w:numPr>
        <w:spacing w:after="120" w:line="360" w:lineRule="auto"/>
        <w:rPr>
          <w:szCs w:val="26"/>
          <w:lang w:val="en-GB"/>
        </w:rPr>
      </w:pPr>
      <w:r w:rsidRPr="003F63A1">
        <w:rPr>
          <w:szCs w:val="26"/>
          <w:lang w:val="en-US"/>
        </w:rPr>
        <w:t xml:space="preserve">The second argument specifically answers the very question of the Arbitration Panel. According to the State Forest Resources </w:t>
      </w:r>
      <w:r w:rsidR="00AE7710" w:rsidRPr="003F63A1">
        <w:rPr>
          <w:szCs w:val="26"/>
          <w:lang w:val="en-US"/>
        </w:rPr>
        <w:t>Agency</w:t>
      </w:r>
      <w:r w:rsidRPr="003F63A1">
        <w:rPr>
          <w:szCs w:val="26"/>
          <w:lang w:val="en-US"/>
        </w:rPr>
        <w:t xml:space="preserve"> of Ukraine, </w:t>
      </w:r>
      <w:r w:rsidR="009152EC" w:rsidRPr="003F63A1">
        <w:rPr>
          <w:szCs w:val="26"/>
          <w:lang w:val="en-US"/>
        </w:rPr>
        <w:t xml:space="preserve">in broad terms </w:t>
      </w:r>
      <w:r w:rsidR="00E23C5C" w:rsidRPr="003F63A1">
        <w:rPr>
          <w:szCs w:val="26"/>
          <w:lang w:val="en-GB"/>
        </w:rPr>
        <w:t xml:space="preserve">a period of </w:t>
      </w:r>
      <w:r w:rsidR="009152EC" w:rsidRPr="003F63A1">
        <w:rPr>
          <w:szCs w:val="26"/>
          <w:lang w:val="en-GB"/>
        </w:rPr>
        <w:t xml:space="preserve">approximately </w:t>
      </w:r>
      <w:r w:rsidR="00E23C5C" w:rsidRPr="003F63A1">
        <w:rPr>
          <w:szCs w:val="26"/>
          <w:lang w:val="en-GB"/>
        </w:rPr>
        <w:t>10 years</w:t>
      </w:r>
      <w:r w:rsidR="00CF370E" w:rsidRPr="003F63A1">
        <w:rPr>
          <w:szCs w:val="26"/>
          <w:lang w:val="en-GB"/>
        </w:rPr>
        <w:t xml:space="preserve"> </w:t>
      </w:r>
      <w:r w:rsidR="00E23C5C" w:rsidRPr="003F63A1">
        <w:rPr>
          <w:szCs w:val="26"/>
          <w:lang w:val="en-GB"/>
        </w:rPr>
        <w:t xml:space="preserve">is required for a deforested </w:t>
      </w:r>
      <w:r w:rsidR="009152EC" w:rsidRPr="003F63A1">
        <w:rPr>
          <w:szCs w:val="26"/>
          <w:lang w:val="en-GB"/>
        </w:rPr>
        <w:t xml:space="preserve">land plot, where new trees have been planted, to be again treated as </w:t>
      </w:r>
      <w:r w:rsidR="004F7A09" w:rsidRPr="003F63A1">
        <w:rPr>
          <w:szCs w:val="26"/>
          <w:lang w:val="en-GB"/>
        </w:rPr>
        <w:t xml:space="preserve">a </w:t>
      </w:r>
      <w:r w:rsidR="00CF370E" w:rsidRPr="003F63A1">
        <w:rPr>
          <w:szCs w:val="26"/>
          <w:lang w:val="en-GB"/>
        </w:rPr>
        <w:t>forested area. However, the suggested 10-year period would depend on a kind of wood species that has been planted to restore a deforested area.</w:t>
      </w:r>
    </w:p>
    <w:p w14:paraId="7A3AF1BE" w14:textId="0F4DA282" w:rsidR="00F5353A" w:rsidRPr="003F63A1" w:rsidRDefault="00F5353A" w:rsidP="00F5353A">
      <w:pPr>
        <w:pStyle w:val="3"/>
        <w:rPr>
          <w:rFonts w:cs="Times New Roman"/>
          <w:szCs w:val="26"/>
          <w:lang w:val="en-GB"/>
        </w:rPr>
      </w:pPr>
      <w:bookmarkStart w:id="67" w:name="_Toc52886588"/>
      <w:bookmarkStart w:id="68" w:name="_Toc52896893"/>
      <w:r w:rsidRPr="003F63A1">
        <w:rPr>
          <w:rFonts w:cs="Times New Roman"/>
          <w:szCs w:val="26"/>
          <w:lang w:val="en-GB"/>
        </w:rPr>
        <w:lastRenderedPageBreak/>
        <w:t>B - Reasons for the introduction of the “2015 temporary export ban” just for 10 years</w:t>
      </w:r>
      <w:bookmarkEnd w:id="67"/>
      <w:bookmarkEnd w:id="68"/>
    </w:p>
    <w:p w14:paraId="79BEFA09" w14:textId="6EC088E7" w:rsidR="00531C5B" w:rsidRPr="003F63A1" w:rsidRDefault="004F7A09" w:rsidP="00DB47C5">
      <w:pPr>
        <w:pStyle w:val="a3"/>
        <w:numPr>
          <w:ilvl w:val="0"/>
          <w:numId w:val="19"/>
        </w:numPr>
        <w:spacing w:after="120" w:line="360" w:lineRule="auto"/>
        <w:rPr>
          <w:szCs w:val="26"/>
          <w:lang w:val="en-GB"/>
        </w:rPr>
      </w:pPr>
      <w:r w:rsidRPr="003F63A1">
        <w:rPr>
          <w:szCs w:val="26"/>
          <w:lang w:val="en-GB"/>
        </w:rPr>
        <w:t xml:space="preserve">Regarding </w:t>
      </w:r>
      <w:r w:rsidR="00AC1AF2" w:rsidRPr="003F63A1">
        <w:rPr>
          <w:szCs w:val="26"/>
          <w:lang w:val="en-GB"/>
        </w:rPr>
        <w:t>the reasons for the introduction of the “2015 temporary export ban” just for 10 years</w:t>
      </w:r>
      <w:r w:rsidR="001D5EA6" w:rsidRPr="003F63A1">
        <w:rPr>
          <w:szCs w:val="26"/>
          <w:lang w:val="en-GB"/>
        </w:rPr>
        <w:t xml:space="preserve"> and the possibility of its prolongation</w:t>
      </w:r>
      <w:r w:rsidR="00AC1AF2" w:rsidRPr="003F63A1">
        <w:rPr>
          <w:szCs w:val="26"/>
          <w:lang w:val="en-GB"/>
        </w:rPr>
        <w:t xml:space="preserve">, Ukraine </w:t>
      </w:r>
      <w:r w:rsidR="008514E4" w:rsidRPr="003F63A1">
        <w:rPr>
          <w:szCs w:val="26"/>
          <w:lang w:val="en-GB"/>
        </w:rPr>
        <w:t xml:space="preserve">reiterates its arguments </w:t>
      </w:r>
      <w:r w:rsidR="005D07A7" w:rsidRPr="003F63A1">
        <w:rPr>
          <w:szCs w:val="26"/>
          <w:lang w:val="en-GB"/>
        </w:rPr>
        <w:t xml:space="preserve">set out at paragraphs 77 to 80 of its Written Submission </w:t>
      </w:r>
      <w:r w:rsidR="00704F61" w:rsidRPr="003F63A1">
        <w:rPr>
          <w:szCs w:val="26"/>
          <w:lang w:val="en-GB"/>
        </w:rPr>
        <w:t xml:space="preserve">and </w:t>
      </w:r>
      <w:r w:rsidR="005D07A7" w:rsidRPr="003F63A1">
        <w:rPr>
          <w:szCs w:val="26"/>
          <w:lang w:val="en-GB"/>
        </w:rPr>
        <w:t>paragraphs 132-134 of Ukraine’s Answers to the First List of Questions</w:t>
      </w:r>
      <w:r w:rsidR="005F1A7A" w:rsidRPr="003F63A1">
        <w:rPr>
          <w:szCs w:val="26"/>
          <w:lang w:val="en-GB"/>
        </w:rPr>
        <w:t>, in particular</w:t>
      </w:r>
      <w:r w:rsidR="00F76E47" w:rsidRPr="003F63A1">
        <w:rPr>
          <w:szCs w:val="26"/>
          <w:lang w:val="en-GB"/>
        </w:rPr>
        <w:t>,</w:t>
      </w:r>
      <w:r w:rsidR="005F1A7A" w:rsidRPr="003F63A1">
        <w:rPr>
          <w:szCs w:val="26"/>
          <w:lang w:val="en-GB"/>
        </w:rPr>
        <w:t xml:space="preserve"> that </w:t>
      </w:r>
      <w:r w:rsidR="00531C5B" w:rsidRPr="003F63A1">
        <w:rPr>
          <w:szCs w:val="26"/>
          <w:lang w:val="en-GB"/>
        </w:rPr>
        <w:t>Ukraine’s statement made in its Written Submission</w:t>
      </w:r>
      <w:r w:rsidR="00531C5B" w:rsidRPr="003F63A1">
        <w:rPr>
          <w:szCs w:val="26"/>
          <w:vertAlign w:val="superscript"/>
          <w:lang w:val="en-GB"/>
        </w:rPr>
        <w:footnoteReference w:id="87"/>
      </w:r>
      <w:r w:rsidR="00531C5B" w:rsidRPr="003F63A1">
        <w:rPr>
          <w:szCs w:val="26"/>
          <w:lang w:val="en-GB"/>
        </w:rPr>
        <w:t xml:space="preserve"> regarding the 10-year duration of the “2015 temporary export ban” as </w:t>
      </w:r>
      <w:r w:rsidR="00531C5B" w:rsidRPr="003F63A1">
        <w:rPr>
          <w:i/>
          <w:szCs w:val="26"/>
          <w:lang w:val="en-GB"/>
        </w:rPr>
        <w:t>“a minimum needed period of time for forest restoration”</w:t>
      </w:r>
      <w:r w:rsidR="00531C5B" w:rsidRPr="003F63A1">
        <w:rPr>
          <w:szCs w:val="26"/>
          <w:lang w:val="en-GB"/>
        </w:rPr>
        <w:t xml:space="preserve"> in any case does not mean any enforcement measures obliging the legislator or other public authorities to take any decisions, including those related to the extension of the measure</w:t>
      </w:r>
      <w:r w:rsidR="00531C5B" w:rsidRPr="003F63A1">
        <w:rPr>
          <w:szCs w:val="26"/>
          <w:lang w:val="en-US"/>
        </w:rPr>
        <w:t>.</w:t>
      </w:r>
    </w:p>
    <w:p w14:paraId="6F34F352" w14:textId="636970CF" w:rsidR="00F5353A" w:rsidRPr="003F63A1" w:rsidRDefault="00F5353A" w:rsidP="00577F64">
      <w:pPr>
        <w:pStyle w:val="3"/>
        <w:rPr>
          <w:rFonts w:cs="Times New Roman"/>
          <w:szCs w:val="26"/>
          <w:lang w:val="en-GB"/>
        </w:rPr>
      </w:pPr>
      <w:bookmarkStart w:id="69" w:name="_Toc52886589"/>
      <w:bookmarkStart w:id="70" w:name="_Toc52896894"/>
      <w:r w:rsidRPr="003F63A1">
        <w:rPr>
          <w:rFonts w:cs="Times New Roman"/>
          <w:szCs w:val="26"/>
          <w:lang w:val="en-GB"/>
        </w:rPr>
        <w:t>C – What does “</w:t>
      </w:r>
      <w:r w:rsidR="00270975" w:rsidRPr="00270975">
        <w:rPr>
          <w:rFonts w:cs="Times New Roman"/>
          <w:szCs w:val="26"/>
          <w:lang w:val="en-US"/>
        </w:rPr>
        <w:t>automatically</w:t>
      </w:r>
      <w:r w:rsidR="00270975" w:rsidRPr="003F63A1">
        <w:rPr>
          <w:rFonts w:cs="Times New Roman"/>
          <w:szCs w:val="26"/>
          <w:lang w:val="en-GB"/>
        </w:rPr>
        <w:t xml:space="preserve"> </w:t>
      </w:r>
      <w:r w:rsidR="00577F64" w:rsidRPr="003F63A1">
        <w:rPr>
          <w:rFonts w:cs="Times New Roman"/>
          <w:szCs w:val="26"/>
          <w:lang w:val="en-GB"/>
        </w:rPr>
        <w:t xml:space="preserve">lapsing” of </w:t>
      </w:r>
      <w:r w:rsidRPr="003F63A1">
        <w:rPr>
          <w:rFonts w:cs="Times New Roman"/>
          <w:szCs w:val="26"/>
          <w:lang w:val="en-GB"/>
        </w:rPr>
        <w:t xml:space="preserve">the “2015 temporary export ban” </w:t>
      </w:r>
      <w:r w:rsidR="00577F64" w:rsidRPr="003F63A1">
        <w:rPr>
          <w:rFonts w:cs="Times New Roman"/>
          <w:szCs w:val="26"/>
          <w:lang w:val="en-GB"/>
        </w:rPr>
        <w:t>mean? Whether it can be prolonged</w:t>
      </w:r>
      <w:bookmarkEnd w:id="69"/>
      <w:bookmarkEnd w:id="70"/>
    </w:p>
    <w:p w14:paraId="15BFE7AD" w14:textId="6E1668A3" w:rsidR="00D61006" w:rsidRPr="003F63A1" w:rsidRDefault="001D5EA6" w:rsidP="00DB47C5">
      <w:pPr>
        <w:pStyle w:val="a3"/>
        <w:numPr>
          <w:ilvl w:val="0"/>
          <w:numId w:val="19"/>
        </w:numPr>
        <w:spacing w:after="120" w:line="360" w:lineRule="auto"/>
        <w:rPr>
          <w:szCs w:val="26"/>
          <w:lang w:val="en-GB"/>
        </w:rPr>
      </w:pPr>
      <w:r w:rsidRPr="003F63A1">
        <w:rPr>
          <w:szCs w:val="26"/>
          <w:lang w:val="en-GB"/>
        </w:rPr>
        <w:t>Further</w:t>
      </w:r>
      <w:r w:rsidR="005F1A7A" w:rsidRPr="003F63A1">
        <w:rPr>
          <w:szCs w:val="26"/>
          <w:lang w:val="en-GB"/>
        </w:rPr>
        <w:t>, s</w:t>
      </w:r>
      <w:r w:rsidR="005F1A7A" w:rsidRPr="003F63A1">
        <w:rPr>
          <w:rFonts w:eastAsiaTheme="minorEastAsia"/>
          <w:szCs w:val="26"/>
          <w:lang w:val="en-GB" w:eastAsia="en-US"/>
        </w:rPr>
        <w:t>ince Law No. 2860-IV</w:t>
      </w:r>
      <w:r w:rsidR="005F1A7A" w:rsidRPr="003F63A1">
        <w:rPr>
          <w:rStyle w:val="af6"/>
          <w:rFonts w:eastAsiaTheme="minorEastAsia"/>
          <w:szCs w:val="26"/>
          <w:lang w:val="en-GB" w:eastAsia="en-US"/>
        </w:rPr>
        <w:footnoteReference w:id="88"/>
      </w:r>
      <w:r w:rsidR="005F1A7A" w:rsidRPr="003F63A1">
        <w:rPr>
          <w:rFonts w:eastAsiaTheme="minorEastAsia"/>
          <w:szCs w:val="26"/>
          <w:lang w:val="en-GB" w:eastAsia="en-US"/>
        </w:rPr>
        <w:t xml:space="preserve"> does not contain any provisions entitling public authorities to take any actions related to prolongation or reconsideration of the temporary restriction, as the matters currently stand </w:t>
      </w:r>
      <w:r w:rsidR="00571E13" w:rsidRPr="003F63A1">
        <w:rPr>
          <w:rFonts w:eastAsiaTheme="minorEastAsia"/>
          <w:szCs w:val="26"/>
          <w:lang w:val="en-GB" w:eastAsia="en-US"/>
        </w:rPr>
        <w:t xml:space="preserve">nothing </w:t>
      </w:r>
      <w:r w:rsidR="005F1A7A" w:rsidRPr="003F63A1">
        <w:rPr>
          <w:rFonts w:eastAsiaTheme="minorEastAsia"/>
          <w:szCs w:val="26"/>
          <w:lang w:val="en-GB" w:eastAsia="en-US"/>
        </w:rPr>
        <w:t xml:space="preserve">has </w:t>
      </w:r>
      <w:r w:rsidR="00571E13" w:rsidRPr="003F63A1">
        <w:rPr>
          <w:rFonts w:eastAsiaTheme="minorEastAsia"/>
          <w:szCs w:val="26"/>
          <w:lang w:val="en-GB" w:eastAsia="en-US"/>
        </w:rPr>
        <w:t xml:space="preserve">any </w:t>
      </w:r>
      <w:r w:rsidR="005F1A7A" w:rsidRPr="003F63A1">
        <w:rPr>
          <w:rFonts w:eastAsiaTheme="minorEastAsia"/>
          <w:szCs w:val="26"/>
          <w:lang w:val="en-GB" w:eastAsia="en-US"/>
        </w:rPr>
        <w:t xml:space="preserve">relevance on when the </w:t>
      </w:r>
      <w:r w:rsidR="005F1A7A" w:rsidRPr="003F63A1">
        <w:rPr>
          <w:szCs w:val="26"/>
          <w:lang w:val="en-GB"/>
        </w:rPr>
        <w:t>“2015 temporary export ban” will be lifted</w:t>
      </w:r>
      <w:r w:rsidR="00571E13" w:rsidRPr="003F63A1">
        <w:rPr>
          <w:szCs w:val="26"/>
          <w:lang w:val="en-GB"/>
        </w:rPr>
        <w:t xml:space="preserve">. It will be lifted </w:t>
      </w:r>
      <w:r w:rsidR="00886AFB" w:rsidRPr="003F63A1">
        <w:rPr>
          <w:szCs w:val="26"/>
          <w:lang w:val="en-GB"/>
        </w:rPr>
        <w:t xml:space="preserve">automatically </w:t>
      </w:r>
      <w:r w:rsidR="005F1A7A" w:rsidRPr="003F63A1">
        <w:rPr>
          <w:szCs w:val="26"/>
          <w:lang w:val="en-GB"/>
        </w:rPr>
        <w:t>by operation of law</w:t>
      </w:r>
      <w:r w:rsidR="00886AFB" w:rsidRPr="003F63A1">
        <w:rPr>
          <w:szCs w:val="26"/>
          <w:lang w:val="en-GB"/>
        </w:rPr>
        <w:t xml:space="preserve">, i.e. </w:t>
      </w:r>
      <w:r w:rsidR="000228DC" w:rsidRPr="003F63A1">
        <w:rPr>
          <w:szCs w:val="26"/>
          <w:lang w:val="en-GB"/>
        </w:rPr>
        <w:t xml:space="preserve">by </w:t>
      </w:r>
      <w:r w:rsidR="00886AFB" w:rsidRPr="003F63A1">
        <w:rPr>
          <w:szCs w:val="26"/>
          <w:lang w:val="en-GB"/>
        </w:rPr>
        <w:t xml:space="preserve">the expiry </w:t>
      </w:r>
      <w:r w:rsidR="000228DC" w:rsidRPr="003F63A1">
        <w:rPr>
          <w:szCs w:val="26"/>
          <w:lang w:val="en-GB"/>
        </w:rPr>
        <w:t xml:space="preserve">of the 10-year period set forth in Article 2-1 of </w:t>
      </w:r>
      <w:r w:rsidR="000228DC" w:rsidRPr="003F63A1">
        <w:rPr>
          <w:rFonts w:eastAsiaTheme="minorEastAsia"/>
          <w:szCs w:val="26"/>
          <w:lang w:val="en-GB" w:eastAsia="en-US"/>
        </w:rPr>
        <w:t xml:space="preserve">Law </w:t>
      </w:r>
      <w:r w:rsidR="00EC013B" w:rsidRPr="003F63A1">
        <w:rPr>
          <w:rFonts w:eastAsiaTheme="minorEastAsia"/>
          <w:szCs w:val="26"/>
          <w:lang w:val="en-GB" w:eastAsia="en-US"/>
        </w:rPr>
        <w:t xml:space="preserve">of Ukraine </w:t>
      </w:r>
      <w:r w:rsidR="000228DC" w:rsidRPr="003F63A1">
        <w:rPr>
          <w:rFonts w:eastAsiaTheme="minorEastAsia"/>
          <w:szCs w:val="26"/>
          <w:lang w:val="en-GB" w:eastAsia="en-US"/>
        </w:rPr>
        <w:t>No. 2860-IV</w:t>
      </w:r>
      <w:r w:rsidR="000228DC" w:rsidRPr="003F63A1">
        <w:rPr>
          <w:szCs w:val="26"/>
          <w:lang w:val="en-GB"/>
        </w:rPr>
        <w:t>.</w:t>
      </w:r>
      <w:r w:rsidR="00C61B93" w:rsidRPr="003F63A1">
        <w:rPr>
          <w:szCs w:val="26"/>
          <w:lang w:val="en-GB"/>
        </w:rPr>
        <w:t xml:space="preserve"> To recall, </w:t>
      </w:r>
      <w:r w:rsidR="006542B6" w:rsidRPr="003F63A1">
        <w:rPr>
          <w:szCs w:val="26"/>
          <w:lang w:val="en-GB"/>
        </w:rPr>
        <w:t xml:space="preserve">this </w:t>
      </w:r>
      <w:r w:rsidR="006E41C8">
        <w:rPr>
          <w:szCs w:val="26"/>
          <w:lang w:val="en-GB"/>
        </w:rPr>
        <w:t>A</w:t>
      </w:r>
      <w:r w:rsidR="006542B6" w:rsidRPr="003F63A1">
        <w:rPr>
          <w:szCs w:val="26"/>
          <w:lang w:val="en-GB"/>
        </w:rPr>
        <w:t xml:space="preserve">rticle sets forth that </w:t>
      </w:r>
      <w:r w:rsidR="00C61B93" w:rsidRPr="003F63A1">
        <w:rPr>
          <w:color w:val="000000"/>
          <w:szCs w:val="26"/>
          <w:bdr w:val="none" w:sz="0" w:space="0" w:color="auto" w:frame="1"/>
          <w:lang w:val="en-GB"/>
          <w14:textOutline w14:w="0" w14:cap="flat" w14:cmpd="sng" w14:algn="ctr">
            <w14:noFill/>
            <w14:prstDash w14:val="solid"/>
            <w14:bevel/>
          </w14:textOutline>
        </w:rPr>
        <w:t>the “2015 temporary export ban” applies to unprocessed timber extracted from any wood species from 1 November 2015 for 10 years, safe for unprocessed timber extracted from pine, to which wood species the “2015 temporary export ban” applies to from 1 January 2017.</w:t>
      </w:r>
      <w:r w:rsidR="004926C1" w:rsidRPr="003F63A1">
        <w:rPr>
          <w:rStyle w:val="af6"/>
          <w:color w:val="000000"/>
          <w:szCs w:val="26"/>
          <w:bdr w:val="none" w:sz="0" w:space="0" w:color="auto" w:frame="1"/>
          <w:lang w:val="en-GB"/>
          <w14:textOutline w14:w="0" w14:cap="flat" w14:cmpd="sng" w14:algn="ctr">
            <w14:noFill/>
            <w14:prstDash w14:val="solid"/>
            <w14:bevel/>
          </w14:textOutline>
        </w:rPr>
        <w:footnoteReference w:id="89"/>
      </w:r>
    </w:p>
    <w:p w14:paraId="71675B7D" w14:textId="5F199A20" w:rsidR="005F1A7A" w:rsidRPr="003F63A1" w:rsidRDefault="000228DC" w:rsidP="00404128">
      <w:pPr>
        <w:pStyle w:val="a3"/>
        <w:numPr>
          <w:ilvl w:val="0"/>
          <w:numId w:val="19"/>
        </w:numPr>
        <w:spacing w:after="120" w:line="360" w:lineRule="auto"/>
        <w:rPr>
          <w:szCs w:val="26"/>
          <w:lang w:val="en-GB"/>
        </w:rPr>
      </w:pPr>
      <w:r w:rsidRPr="003F63A1">
        <w:rPr>
          <w:rFonts w:eastAsiaTheme="minorEastAsia"/>
          <w:szCs w:val="26"/>
          <w:lang w:val="en-GB" w:eastAsia="en-US"/>
        </w:rPr>
        <w:t xml:space="preserve">However, it is hard to predict </w:t>
      </w:r>
      <w:r w:rsidR="00571E13" w:rsidRPr="003F63A1">
        <w:rPr>
          <w:rFonts w:eastAsiaTheme="minorEastAsia"/>
          <w:szCs w:val="26"/>
          <w:lang w:val="en-GB" w:eastAsia="en-US"/>
        </w:rPr>
        <w:t xml:space="preserve">what </w:t>
      </w:r>
      <w:r w:rsidR="003B7F66" w:rsidRPr="003F63A1">
        <w:rPr>
          <w:rFonts w:eastAsiaTheme="minorEastAsia"/>
          <w:szCs w:val="26"/>
          <w:lang w:val="en-GB" w:eastAsia="en-US"/>
        </w:rPr>
        <w:t>(e.g. the speed of the woods regeneration as s</w:t>
      </w:r>
      <w:r w:rsidR="00E218EC" w:rsidRPr="003F63A1">
        <w:rPr>
          <w:rFonts w:eastAsiaTheme="minorEastAsia"/>
          <w:szCs w:val="26"/>
          <w:lang w:val="en-GB" w:eastAsia="en-US"/>
        </w:rPr>
        <w:t xml:space="preserve">uggested </w:t>
      </w:r>
      <w:r w:rsidR="003B7F66" w:rsidRPr="003F63A1">
        <w:rPr>
          <w:rFonts w:eastAsiaTheme="minorEastAsia"/>
          <w:szCs w:val="26"/>
          <w:lang w:val="en-GB" w:eastAsia="en-US"/>
        </w:rPr>
        <w:t>the Arbitration Panel</w:t>
      </w:r>
      <w:r w:rsidR="00E218EC" w:rsidRPr="003F63A1">
        <w:rPr>
          <w:rFonts w:eastAsiaTheme="minorEastAsia"/>
          <w:szCs w:val="26"/>
          <w:lang w:val="en-GB" w:eastAsia="en-US"/>
        </w:rPr>
        <w:t xml:space="preserve"> in its Issue No. 24</w:t>
      </w:r>
      <w:r w:rsidR="003B7F66" w:rsidRPr="003F63A1">
        <w:rPr>
          <w:rFonts w:eastAsiaTheme="minorEastAsia"/>
          <w:szCs w:val="26"/>
          <w:lang w:val="en-GB" w:eastAsia="en-US"/>
        </w:rPr>
        <w:t xml:space="preserve">) </w:t>
      </w:r>
      <w:r w:rsidRPr="003F63A1">
        <w:rPr>
          <w:rFonts w:eastAsiaTheme="minorEastAsia"/>
          <w:szCs w:val="26"/>
          <w:lang w:val="en-GB" w:eastAsia="en-US"/>
        </w:rPr>
        <w:t xml:space="preserve">may have any influence on the </w:t>
      </w:r>
      <w:r w:rsidRPr="003F63A1">
        <w:rPr>
          <w:rFonts w:eastAsiaTheme="minorEastAsia"/>
          <w:szCs w:val="26"/>
          <w:lang w:val="en-GB" w:eastAsia="en-US"/>
        </w:rPr>
        <w:lastRenderedPageBreak/>
        <w:t xml:space="preserve">fate of </w:t>
      </w:r>
      <w:r w:rsidR="00DA3555" w:rsidRPr="003F63A1">
        <w:rPr>
          <w:rFonts w:eastAsiaTheme="minorEastAsia"/>
          <w:szCs w:val="26"/>
          <w:lang w:val="en-GB" w:eastAsia="en-US"/>
        </w:rPr>
        <w:t xml:space="preserve">the prolongation of </w:t>
      </w:r>
      <w:r w:rsidRPr="003F63A1">
        <w:rPr>
          <w:rFonts w:eastAsiaTheme="minorEastAsia"/>
          <w:szCs w:val="26"/>
          <w:lang w:val="en-GB" w:eastAsia="en-US"/>
        </w:rPr>
        <w:t xml:space="preserve">the </w:t>
      </w:r>
      <w:r w:rsidRPr="003F63A1">
        <w:rPr>
          <w:szCs w:val="26"/>
          <w:lang w:val="en-GB"/>
        </w:rPr>
        <w:t>“2015 temporary export ban”</w:t>
      </w:r>
      <w:r w:rsidRPr="003F63A1">
        <w:rPr>
          <w:rFonts w:eastAsiaTheme="minorEastAsia"/>
          <w:szCs w:val="26"/>
          <w:lang w:val="en-GB" w:eastAsia="en-US"/>
        </w:rPr>
        <w:t xml:space="preserve">. </w:t>
      </w:r>
      <w:r w:rsidR="009A05F2" w:rsidRPr="003F63A1">
        <w:rPr>
          <w:rFonts w:eastAsiaTheme="minorEastAsia"/>
          <w:szCs w:val="26"/>
          <w:lang w:val="en-GB" w:eastAsia="en-US"/>
        </w:rPr>
        <w:t>However,</w:t>
      </w:r>
      <w:r w:rsidR="00DA3555" w:rsidRPr="003F63A1">
        <w:rPr>
          <w:rFonts w:eastAsiaTheme="minorEastAsia"/>
          <w:szCs w:val="26"/>
          <w:lang w:val="en-GB" w:eastAsia="en-US"/>
        </w:rPr>
        <w:t xml:space="preserve"> a</w:t>
      </w:r>
      <w:r w:rsidRPr="003F63A1">
        <w:rPr>
          <w:rFonts w:eastAsiaTheme="minorEastAsia"/>
          <w:szCs w:val="26"/>
          <w:lang w:val="en-GB" w:eastAsia="en-US"/>
        </w:rPr>
        <w:t xml:space="preserve">ny prolongation </w:t>
      </w:r>
      <w:r w:rsidRPr="003F63A1">
        <w:rPr>
          <w:rFonts w:eastAsiaTheme="minorEastAsia"/>
          <w:szCs w:val="26"/>
          <w:lang w:val="en-US" w:eastAsia="en-US"/>
        </w:rPr>
        <w:t xml:space="preserve">of the measure </w:t>
      </w:r>
      <w:r w:rsidRPr="003F63A1">
        <w:rPr>
          <w:rFonts w:eastAsiaTheme="minorEastAsia"/>
          <w:szCs w:val="26"/>
          <w:lang w:val="en-GB" w:eastAsia="en-US"/>
        </w:rPr>
        <w:t xml:space="preserve">should be </w:t>
      </w:r>
      <w:r w:rsidR="00404128" w:rsidRPr="003F63A1">
        <w:rPr>
          <w:rFonts w:eastAsiaTheme="minorEastAsia"/>
          <w:szCs w:val="26"/>
          <w:lang w:val="en-GB" w:eastAsia="en-US"/>
        </w:rPr>
        <w:t xml:space="preserve">made by </w:t>
      </w:r>
      <w:r w:rsidR="00154F84" w:rsidRPr="003F63A1">
        <w:rPr>
          <w:rFonts w:eastAsiaTheme="minorEastAsia"/>
          <w:szCs w:val="26"/>
          <w:lang w:val="en-GB" w:eastAsia="en-US"/>
        </w:rPr>
        <w:t xml:space="preserve">way of </w:t>
      </w:r>
      <w:r w:rsidR="00404128" w:rsidRPr="003F63A1">
        <w:rPr>
          <w:rFonts w:eastAsiaTheme="minorEastAsia"/>
          <w:szCs w:val="26"/>
          <w:lang w:val="en-GB" w:eastAsia="en-US"/>
        </w:rPr>
        <w:t xml:space="preserve">adopting a separate law </w:t>
      </w:r>
      <w:r w:rsidR="003178E4" w:rsidRPr="003F63A1">
        <w:rPr>
          <w:rFonts w:eastAsiaTheme="minorEastAsia"/>
          <w:szCs w:val="26"/>
          <w:lang w:val="en-GB" w:eastAsia="en-US"/>
        </w:rPr>
        <w:t xml:space="preserve">by the Ukrainian Parliament </w:t>
      </w:r>
      <w:r w:rsidRPr="003F63A1">
        <w:rPr>
          <w:rFonts w:eastAsiaTheme="minorEastAsia"/>
          <w:szCs w:val="26"/>
          <w:lang w:val="en-GB" w:eastAsia="en-US"/>
        </w:rPr>
        <w:t>in accordance with the legislative procedure of Ukraine.</w:t>
      </w:r>
    </w:p>
    <w:p w14:paraId="346C3D95" w14:textId="35A8AFA4" w:rsidR="005716E1" w:rsidRPr="003F63A1" w:rsidRDefault="00154F84" w:rsidP="00DB47C5">
      <w:pPr>
        <w:pStyle w:val="a3"/>
        <w:numPr>
          <w:ilvl w:val="0"/>
          <w:numId w:val="19"/>
        </w:numPr>
        <w:spacing w:after="120" w:line="360" w:lineRule="auto"/>
        <w:rPr>
          <w:szCs w:val="26"/>
          <w:lang w:val="en-GB"/>
        </w:rPr>
      </w:pPr>
      <w:r w:rsidRPr="003F63A1">
        <w:rPr>
          <w:rFonts w:eastAsiaTheme="minorEastAsia"/>
          <w:szCs w:val="26"/>
          <w:lang w:val="en-GB" w:eastAsia="en-US"/>
        </w:rPr>
        <w:t xml:space="preserve">To sum it up, </w:t>
      </w:r>
      <w:r w:rsidRPr="003F63A1">
        <w:rPr>
          <w:szCs w:val="26"/>
          <w:lang w:val="en-GB"/>
        </w:rPr>
        <w:t xml:space="preserve">Law of Ukraine </w:t>
      </w:r>
      <w:r w:rsidRPr="003F63A1">
        <w:rPr>
          <w:i/>
          <w:iCs/>
          <w:szCs w:val="26"/>
          <w:lang w:val="en-GB"/>
        </w:rPr>
        <w:t xml:space="preserve">“On Elements of the State Regulation of Business Operators’ Activities Related to the Sale and Export of Timber” </w:t>
      </w:r>
      <w:r w:rsidRPr="003F63A1">
        <w:rPr>
          <w:szCs w:val="26"/>
          <w:lang w:val="en-GB"/>
        </w:rPr>
        <w:t xml:space="preserve">No. 2860-IV, dated 8 September 2005, in </w:t>
      </w:r>
      <w:r w:rsidR="00B540DD" w:rsidRPr="003F63A1">
        <w:rPr>
          <w:szCs w:val="26"/>
          <w:lang w:val="en-GB"/>
        </w:rPr>
        <w:t xml:space="preserve">its </w:t>
      </w:r>
      <w:r w:rsidRPr="003F63A1">
        <w:rPr>
          <w:szCs w:val="26"/>
          <w:lang w:val="en-GB"/>
        </w:rPr>
        <w:t>current version,</w:t>
      </w:r>
      <w:r w:rsidR="00B540DD" w:rsidRPr="003F63A1">
        <w:rPr>
          <w:rStyle w:val="af6"/>
          <w:szCs w:val="26"/>
          <w:lang w:val="en-GB"/>
        </w:rPr>
        <w:footnoteReference w:id="90"/>
      </w:r>
      <w:r w:rsidR="00463551" w:rsidRPr="003F63A1">
        <w:rPr>
          <w:szCs w:val="26"/>
          <w:lang w:val="en-GB"/>
        </w:rPr>
        <w:t xml:space="preserve"> will maintain the “2015 temporary export ban” until the expiry of the 10-year period or the adoption </w:t>
      </w:r>
      <w:r w:rsidR="003C026C" w:rsidRPr="003F63A1">
        <w:rPr>
          <w:szCs w:val="26"/>
          <w:lang w:val="en-GB"/>
        </w:rPr>
        <w:t>of a separate law abolishing the export moratorium earlier.</w:t>
      </w:r>
    </w:p>
    <w:p w14:paraId="168658CF" w14:textId="69D4114C" w:rsidR="00E31BA3" w:rsidRPr="003F63A1" w:rsidRDefault="00EC013B" w:rsidP="00DB47C5">
      <w:pPr>
        <w:pStyle w:val="a3"/>
        <w:numPr>
          <w:ilvl w:val="0"/>
          <w:numId w:val="19"/>
        </w:numPr>
        <w:spacing w:after="120" w:line="360" w:lineRule="auto"/>
        <w:rPr>
          <w:szCs w:val="26"/>
          <w:lang w:val="en-GB"/>
        </w:rPr>
      </w:pPr>
      <w:r w:rsidRPr="003F63A1">
        <w:rPr>
          <w:szCs w:val="26"/>
          <w:lang w:val="en-GB"/>
        </w:rPr>
        <w:t xml:space="preserve">Article 2-1 of Law of Ukraine </w:t>
      </w:r>
      <w:r w:rsidRPr="003F63A1">
        <w:rPr>
          <w:rFonts w:eastAsiaTheme="minorEastAsia"/>
          <w:szCs w:val="26"/>
          <w:lang w:val="en-GB" w:eastAsia="en-US"/>
        </w:rPr>
        <w:t xml:space="preserve">No. 2860-IV </w:t>
      </w:r>
      <w:r w:rsidR="005716E1" w:rsidRPr="003F63A1">
        <w:rPr>
          <w:rFonts w:eastAsiaTheme="minorEastAsia"/>
          <w:szCs w:val="26"/>
          <w:lang w:val="en-GB" w:eastAsia="en-US"/>
        </w:rPr>
        <w:t xml:space="preserve">introducing </w:t>
      </w:r>
      <w:r w:rsidRPr="003F63A1">
        <w:rPr>
          <w:rFonts w:eastAsiaTheme="minorEastAsia"/>
          <w:szCs w:val="26"/>
          <w:lang w:val="en-GB" w:eastAsia="en-US"/>
        </w:rPr>
        <w:t>the “2015 temporary export ban”</w:t>
      </w:r>
      <w:r w:rsidR="005032E8" w:rsidRPr="003F63A1">
        <w:rPr>
          <w:szCs w:val="26"/>
          <w:lang w:val="en-GB"/>
        </w:rPr>
        <w:t xml:space="preserve"> was enacted by the law of Ukraine</w:t>
      </w:r>
      <w:r w:rsidRPr="003F63A1">
        <w:rPr>
          <w:szCs w:val="26"/>
          <w:lang w:val="en-GB"/>
        </w:rPr>
        <w:t xml:space="preserve">. </w:t>
      </w:r>
      <w:r w:rsidR="00E31BA3" w:rsidRPr="003F63A1">
        <w:rPr>
          <w:szCs w:val="26"/>
          <w:lang w:val="en-GB"/>
        </w:rPr>
        <w:t xml:space="preserve">According to the </w:t>
      </w:r>
      <w:r w:rsidR="00556C43" w:rsidRPr="003F63A1">
        <w:rPr>
          <w:szCs w:val="26"/>
          <w:lang w:val="en-GB"/>
        </w:rPr>
        <w:t>principal source of Ukrainian law</w:t>
      </w:r>
      <w:r w:rsidR="00E31BA3" w:rsidRPr="003F63A1">
        <w:rPr>
          <w:szCs w:val="26"/>
          <w:lang w:val="en-GB"/>
        </w:rPr>
        <w:t xml:space="preserve">, </w:t>
      </w:r>
      <w:r w:rsidR="00556C43" w:rsidRPr="003F63A1">
        <w:rPr>
          <w:szCs w:val="26"/>
          <w:lang w:val="en-GB"/>
        </w:rPr>
        <w:t>the Constitution of Ukraine</w:t>
      </w:r>
      <w:r w:rsidR="00E31BA3" w:rsidRPr="003F63A1">
        <w:rPr>
          <w:szCs w:val="26"/>
          <w:lang w:val="en-GB"/>
        </w:rPr>
        <w:t>, only the Ukrainian Parliament has the power to adopt, change or repeal laws of Ukraine. The Ukrainian Government, the President of Ukraine, and other governmental authorities are entitled to adopt secondary legislation</w:t>
      </w:r>
      <w:r w:rsidR="00B84AEC" w:rsidRPr="003F63A1">
        <w:rPr>
          <w:szCs w:val="26"/>
          <w:lang w:val="en-GB"/>
        </w:rPr>
        <w:t>, which should not contradict the Constitution and/or the laws of Ukraine.</w:t>
      </w:r>
      <w:r w:rsidR="005716E1" w:rsidRPr="003F63A1">
        <w:rPr>
          <w:szCs w:val="26"/>
          <w:lang w:val="en-GB"/>
        </w:rPr>
        <w:t xml:space="preserve"> Therefore, the only Ukrainian authority that is entitled to prolong, suspend or </w:t>
      </w:r>
      <w:r w:rsidR="00BC48EA" w:rsidRPr="003F63A1">
        <w:rPr>
          <w:szCs w:val="26"/>
          <w:lang w:val="en-GB"/>
        </w:rPr>
        <w:t>abolish the measure is the Ukrainian Parliament.</w:t>
      </w:r>
    </w:p>
    <w:p w14:paraId="78892298" w14:textId="186673EA" w:rsidR="00577F64" w:rsidRPr="003F63A1" w:rsidRDefault="00577F64" w:rsidP="00577F64">
      <w:pPr>
        <w:pStyle w:val="3"/>
        <w:rPr>
          <w:rFonts w:cs="Times New Roman"/>
          <w:szCs w:val="26"/>
          <w:lang w:val="en-GB"/>
        </w:rPr>
      </w:pPr>
      <w:bookmarkStart w:id="71" w:name="_Toc52886590"/>
      <w:bookmarkStart w:id="72" w:name="_Toc52896895"/>
      <w:r w:rsidRPr="003F63A1">
        <w:rPr>
          <w:rFonts w:cs="Times New Roman"/>
          <w:szCs w:val="26"/>
          <w:lang w:val="en-GB"/>
        </w:rPr>
        <w:t xml:space="preserve">D – Whether the 25 million cubic meter consumption plan per year is a real and actual restriction on </w:t>
      </w:r>
      <w:r w:rsidRPr="003F63A1">
        <w:rPr>
          <w:rFonts w:cs="Times New Roman"/>
          <w:szCs w:val="26"/>
          <w:lang w:val="en-US"/>
        </w:rPr>
        <w:t>domestic consumption of unprocessed timber</w:t>
      </w:r>
      <w:bookmarkEnd w:id="71"/>
      <w:bookmarkEnd w:id="72"/>
    </w:p>
    <w:p w14:paraId="70C74B2F" w14:textId="40CDDACA" w:rsidR="0035718E" w:rsidRPr="003F63A1" w:rsidRDefault="00F03B2B" w:rsidP="00DB47C5">
      <w:pPr>
        <w:pStyle w:val="a3"/>
        <w:numPr>
          <w:ilvl w:val="0"/>
          <w:numId w:val="19"/>
        </w:numPr>
        <w:spacing w:after="120" w:line="360" w:lineRule="auto"/>
        <w:rPr>
          <w:szCs w:val="26"/>
          <w:lang w:val="en-GB"/>
        </w:rPr>
      </w:pPr>
      <w:r w:rsidRPr="003F63A1">
        <w:rPr>
          <w:szCs w:val="26"/>
          <w:lang w:val="en-GB"/>
        </w:rPr>
        <w:t xml:space="preserve">Regarding whether </w:t>
      </w:r>
      <w:r w:rsidR="00477991" w:rsidRPr="003F63A1">
        <w:rPr>
          <w:szCs w:val="26"/>
          <w:lang w:val="en-GB"/>
        </w:rPr>
        <w:t>the 25 million cubic meter consumption plan</w:t>
      </w:r>
      <w:r w:rsidR="00450B56" w:rsidRPr="003F63A1">
        <w:rPr>
          <w:szCs w:val="26"/>
          <w:lang w:val="en-GB"/>
        </w:rPr>
        <w:t xml:space="preserve"> per year</w:t>
      </w:r>
      <w:r w:rsidR="00477991" w:rsidRPr="003F63A1">
        <w:rPr>
          <w:szCs w:val="26"/>
          <w:lang w:val="en-GB"/>
        </w:rPr>
        <w:t xml:space="preserve">, which was introduced by Law of Ukraine No. </w:t>
      </w:r>
      <w:r w:rsidR="00477991" w:rsidRPr="003F63A1">
        <w:rPr>
          <w:rStyle w:val="rvts44"/>
          <w:szCs w:val="26"/>
        </w:rPr>
        <w:t>2531-VIII</w:t>
      </w:r>
      <w:r w:rsidR="00477991" w:rsidRPr="003F63A1">
        <w:rPr>
          <w:szCs w:val="26"/>
          <w:lang w:val="en-GB"/>
        </w:rPr>
        <w:t>, dated 6 September 2018,</w:t>
      </w:r>
      <w:r w:rsidR="00477991" w:rsidRPr="003F63A1">
        <w:rPr>
          <w:rStyle w:val="af6"/>
          <w:szCs w:val="26"/>
          <w:lang w:val="en-GB"/>
        </w:rPr>
        <w:footnoteReference w:id="91"/>
      </w:r>
      <w:r w:rsidR="006A4950" w:rsidRPr="003F63A1">
        <w:rPr>
          <w:szCs w:val="26"/>
          <w:lang w:val="en-GB"/>
        </w:rPr>
        <w:t xml:space="preserve"> and became effective from 1 January 2019, </w:t>
      </w:r>
      <w:r w:rsidR="00FF48CD" w:rsidRPr="003F63A1">
        <w:rPr>
          <w:szCs w:val="26"/>
          <w:lang w:val="en-GB"/>
        </w:rPr>
        <w:t xml:space="preserve">is a real and actual restriction </w:t>
      </w:r>
      <w:r w:rsidR="00FF02F1" w:rsidRPr="003F63A1">
        <w:rPr>
          <w:szCs w:val="26"/>
          <w:lang w:val="en-GB"/>
        </w:rPr>
        <w:t xml:space="preserve">on </w:t>
      </w:r>
      <w:r w:rsidR="00FF02F1" w:rsidRPr="003F63A1">
        <w:rPr>
          <w:szCs w:val="26"/>
          <w:lang w:val="en-US"/>
        </w:rPr>
        <w:t xml:space="preserve">domestic consumption of unprocessed timber, </w:t>
      </w:r>
      <w:r w:rsidR="006A4950" w:rsidRPr="003F63A1">
        <w:rPr>
          <w:szCs w:val="26"/>
          <w:lang w:val="en-GB"/>
        </w:rPr>
        <w:t xml:space="preserve">Ukraine reiterates its </w:t>
      </w:r>
      <w:r w:rsidR="00066B6B" w:rsidRPr="003F63A1">
        <w:rPr>
          <w:szCs w:val="26"/>
          <w:lang w:val="en-GB"/>
        </w:rPr>
        <w:t xml:space="preserve">arguments </w:t>
      </w:r>
      <w:r w:rsidR="009130A1" w:rsidRPr="003F63A1">
        <w:rPr>
          <w:szCs w:val="26"/>
          <w:lang w:val="en-GB"/>
        </w:rPr>
        <w:t xml:space="preserve">on this point that have already </w:t>
      </w:r>
      <w:r w:rsidR="008B7127" w:rsidRPr="003F63A1">
        <w:rPr>
          <w:szCs w:val="26"/>
          <w:lang w:val="en-GB"/>
        </w:rPr>
        <w:t xml:space="preserve">been </w:t>
      </w:r>
      <w:r w:rsidR="009130A1" w:rsidRPr="003F63A1">
        <w:rPr>
          <w:szCs w:val="26"/>
          <w:lang w:val="en-GB"/>
        </w:rPr>
        <w:t xml:space="preserve">submitted </w:t>
      </w:r>
      <w:r w:rsidR="008B7127" w:rsidRPr="003F63A1">
        <w:rPr>
          <w:szCs w:val="26"/>
          <w:lang w:val="en-GB"/>
        </w:rPr>
        <w:t xml:space="preserve">in its written submissions </w:t>
      </w:r>
      <w:r w:rsidR="009130A1" w:rsidRPr="003F63A1">
        <w:rPr>
          <w:szCs w:val="26"/>
          <w:lang w:val="en-GB"/>
        </w:rPr>
        <w:t>so far</w:t>
      </w:r>
      <w:r w:rsidR="008B7127" w:rsidRPr="003F63A1">
        <w:rPr>
          <w:rStyle w:val="af6"/>
          <w:szCs w:val="26"/>
          <w:lang w:val="en-GB"/>
        </w:rPr>
        <w:footnoteReference w:id="92"/>
      </w:r>
      <w:r w:rsidR="00FF48CD" w:rsidRPr="003F63A1">
        <w:rPr>
          <w:szCs w:val="26"/>
          <w:lang w:val="en-GB"/>
        </w:rPr>
        <w:t xml:space="preserve"> </w:t>
      </w:r>
      <w:r w:rsidR="00FF48CD" w:rsidRPr="003F63A1">
        <w:rPr>
          <w:szCs w:val="26"/>
          <w:lang w:val="en-GB"/>
        </w:rPr>
        <w:lastRenderedPageBreak/>
        <w:t xml:space="preserve">(see also paragraph </w:t>
      </w:r>
      <w:r w:rsidR="00FF48CD" w:rsidRPr="003F63A1">
        <w:rPr>
          <w:szCs w:val="26"/>
          <w:lang w:val="en-GB"/>
        </w:rPr>
        <w:fldChar w:fldCharType="begin"/>
      </w:r>
      <w:r w:rsidR="00FF48CD" w:rsidRPr="003F63A1">
        <w:rPr>
          <w:szCs w:val="26"/>
          <w:lang w:val="en-GB"/>
        </w:rPr>
        <w:instrText xml:space="preserve"> REF _Ref52380910 \r \h </w:instrText>
      </w:r>
      <w:r w:rsidR="003F63A1" w:rsidRPr="003F63A1">
        <w:rPr>
          <w:szCs w:val="26"/>
          <w:lang w:val="en-GB"/>
        </w:rPr>
        <w:instrText xml:space="preserve"> \* MERGEFORMAT </w:instrText>
      </w:r>
      <w:r w:rsidR="00FF48CD" w:rsidRPr="003F63A1">
        <w:rPr>
          <w:szCs w:val="26"/>
          <w:lang w:val="en-GB"/>
        </w:rPr>
      </w:r>
      <w:r w:rsidR="00FF48CD" w:rsidRPr="003F63A1">
        <w:rPr>
          <w:szCs w:val="26"/>
          <w:lang w:val="en-GB"/>
        </w:rPr>
        <w:fldChar w:fldCharType="separate"/>
      </w:r>
      <w:r w:rsidR="00FF48CD" w:rsidRPr="003F63A1">
        <w:rPr>
          <w:szCs w:val="26"/>
          <w:lang w:val="en-GB"/>
        </w:rPr>
        <w:t>72</w:t>
      </w:r>
      <w:r w:rsidR="00FF48CD" w:rsidRPr="003F63A1">
        <w:rPr>
          <w:szCs w:val="26"/>
          <w:lang w:val="en-GB"/>
        </w:rPr>
        <w:fldChar w:fldCharType="end"/>
      </w:r>
      <w:r w:rsidR="00FF48CD" w:rsidRPr="003F63A1">
        <w:rPr>
          <w:szCs w:val="26"/>
          <w:lang w:val="en-GB"/>
        </w:rPr>
        <w:t xml:space="preserve"> above regarding that the electronic timber accounting system is capable of enforcing the consumption cap of 25 million cubic meters).</w:t>
      </w:r>
    </w:p>
    <w:p w14:paraId="7C06D3E4" w14:textId="299495C6" w:rsidR="00DD75F2" w:rsidRPr="003F63A1" w:rsidRDefault="0035718E" w:rsidP="00DB47C5">
      <w:pPr>
        <w:pStyle w:val="a3"/>
        <w:numPr>
          <w:ilvl w:val="0"/>
          <w:numId w:val="19"/>
        </w:numPr>
        <w:spacing w:after="120" w:line="360" w:lineRule="auto"/>
        <w:rPr>
          <w:szCs w:val="26"/>
          <w:lang w:val="en-GB"/>
        </w:rPr>
      </w:pPr>
      <w:r w:rsidRPr="003F63A1">
        <w:rPr>
          <w:szCs w:val="26"/>
          <w:lang w:val="en-GB"/>
        </w:rPr>
        <w:t xml:space="preserve">To this end, </w:t>
      </w:r>
      <w:r w:rsidR="00DD75F2" w:rsidRPr="003F63A1">
        <w:rPr>
          <w:szCs w:val="26"/>
          <w:lang w:val="en-GB"/>
        </w:rPr>
        <w:t>Ukraine draws the Arbitration Panel’s attention that</w:t>
      </w:r>
      <w:r w:rsidR="006F51F2" w:rsidRPr="003F63A1">
        <w:rPr>
          <w:szCs w:val="26"/>
          <w:lang w:val="en-GB"/>
        </w:rPr>
        <w:t xml:space="preserve">, despite being introduced in 2018, when Ukraine had already lost control over certain </w:t>
      </w:r>
      <w:r w:rsidR="60767704" w:rsidRPr="003F63A1">
        <w:rPr>
          <w:szCs w:val="26"/>
          <w:lang w:val="en-GB"/>
        </w:rPr>
        <w:t xml:space="preserve">parts </w:t>
      </w:r>
      <w:r w:rsidR="00B10EB4" w:rsidRPr="003F63A1">
        <w:rPr>
          <w:szCs w:val="26"/>
          <w:lang w:val="en-GB"/>
        </w:rPr>
        <w:t xml:space="preserve">of its territory, which is </w:t>
      </w:r>
      <w:r w:rsidR="006F51F2" w:rsidRPr="003F63A1">
        <w:rPr>
          <w:szCs w:val="26"/>
          <w:lang w:val="en-GB"/>
        </w:rPr>
        <w:t>temporarily occupied territory of the Autonomous Republic of Crimea, the city of Sevastopol and</w:t>
      </w:r>
      <w:r w:rsidR="00284EE4">
        <w:rPr>
          <w:szCs w:val="26"/>
          <w:lang w:val="en-GB"/>
        </w:rPr>
        <w:t xml:space="preserve"> certain areas of</w:t>
      </w:r>
      <w:r w:rsidR="006F51F2" w:rsidRPr="003F63A1">
        <w:rPr>
          <w:szCs w:val="26"/>
          <w:lang w:val="en-GB"/>
        </w:rPr>
        <w:t xml:space="preserve"> the Donetsk and Luhansk regions</w:t>
      </w:r>
      <w:r w:rsidR="00B10EB4" w:rsidRPr="003F63A1">
        <w:rPr>
          <w:szCs w:val="26"/>
          <w:lang w:val="en-GB"/>
        </w:rPr>
        <w:t xml:space="preserve">, </w:t>
      </w:r>
      <w:r w:rsidRPr="003F63A1">
        <w:rPr>
          <w:szCs w:val="26"/>
          <w:lang w:val="en-GB"/>
        </w:rPr>
        <w:t xml:space="preserve">the 25 million cubic meter consumption plan </w:t>
      </w:r>
      <w:r w:rsidR="00DD75F2" w:rsidRPr="003F63A1">
        <w:rPr>
          <w:szCs w:val="26"/>
          <w:lang w:val="en-GB"/>
        </w:rPr>
        <w:t xml:space="preserve">is limiting the </w:t>
      </w:r>
      <w:r w:rsidR="00DD75F2" w:rsidRPr="003F63A1">
        <w:rPr>
          <w:szCs w:val="26"/>
          <w:lang w:val="en-US"/>
        </w:rPr>
        <w:t>domestic consumption of unprocessed timber on the whole territory of Ukraine</w:t>
      </w:r>
      <w:r w:rsidR="00B10EB4" w:rsidRPr="003F63A1">
        <w:rPr>
          <w:szCs w:val="26"/>
          <w:lang w:val="en-US"/>
        </w:rPr>
        <w:t>.</w:t>
      </w:r>
    </w:p>
    <w:p w14:paraId="07FC0C00" w14:textId="3ABB2B60" w:rsidR="00450B56" w:rsidRPr="003F63A1" w:rsidRDefault="0079276A" w:rsidP="00DB47C5">
      <w:pPr>
        <w:pStyle w:val="a3"/>
        <w:numPr>
          <w:ilvl w:val="0"/>
          <w:numId w:val="19"/>
        </w:numPr>
        <w:spacing w:after="120" w:line="360" w:lineRule="auto"/>
        <w:rPr>
          <w:szCs w:val="26"/>
          <w:lang w:val="en-GB"/>
        </w:rPr>
      </w:pPr>
      <w:r w:rsidRPr="003F63A1">
        <w:rPr>
          <w:szCs w:val="26"/>
          <w:lang w:val="en-US"/>
        </w:rPr>
        <w:t xml:space="preserve">In this regard, Ukraine </w:t>
      </w:r>
      <w:r w:rsidR="00C96C4D" w:rsidRPr="003F63A1">
        <w:rPr>
          <w:szCs w:val="26"/>
          <w:lang w:val="en-US"/>
        </w:rPr>
        <w:t xml:space="preserve">would like to </w:t>
      </w:r>
      <w:r w:rsidR="002E601B" w:rsidRPr="003F63A1">
        <w:rPr>
          <w:szCs w:val="26"/>
          <w:lang w:val="en-US"/>
        </w:rPr>
        <w:t xml:space="preserve">rely on </w:t>
      </w:r>
      <w:r w:rsidR="00C96C4D" w:rsidRPr="003F63A1">
        <w:rPr>
          <w:szCs w:val="26"/>
          <w:lang w:val="en-US"/>
        </w:rPr>
        <w:t xml:space="preserve">the Ukrainian statistics of </w:t>
      </w:r>
      <w:r w:rsidRPr="003F63A1">
        <w:rPr>
          <w:szCs w:val="26"/>
          <w:lang w:val="en-US"/>
        </w:rPr>
        <w:t>the actual harvesting of timber</w:t>
      </w:r>
      <w:r w:rsidR="00C96C4D" w:rsidRPr="003F63A1">
        <w:rPr>
          <w:szCs w:val="26"/>
          <w:lang w:val="en-US"/>
        </w:rPr>
        <w:t xml:space="preserve"> in 2005-2019</w:t>
      </w:r>
      <w:r w:rsidR="00FF03A0" w:rsidRPr="003F63A1">
        <w:rPr>
          <w:szCs w:val="26"/>
          <w:lang w:val="en-US"/>
        </w:rPr>
        <w:t>:</w:t>
      </w:r>
      <w:r w:rsidR="00450B56" w:rsidRPr="003F63A1">
        <w:rPr>
          <w:rStyle w:val="af6"/>
          <w:szCs w:val="26"/>
          <w:lang w:val="en-US"/>
        </w:rPr>
        <w:footnoteReference w:id="93"/>
      </w:r>
      <w:r w:rsidR="002E601B" w:rsidRPr="003F63A1">
        <w:rPr>
          <w:szCs w:val="26"/>
          <w:lang w:val="en-US"/>
        </w:rPr>
        <w:t xml:space="preserve"> </w:t>
      </w:r>
    </w:p>
    <w:tbl>
      <w:tblPr>
        <w:tblStyle w:val="af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238"/>
        <w:gridCol w:w="4678"/>
      </w:tblGrid>
      <w:tr w:rsidR="00636D44" w:rsidRPr="00270975" w14:paraId="50229A60" w14:textId="77777777" w:rsidTr="007343F5">
        <w:tc>
          <w:tcPr>
            <w:tcW w:w="8916" w:type="dxa"/>
            <w:gridSpan w:val="2"/>
            <w:tcBorders>
              <w:bottom w:val="double" w:sz="4" w:space="0" w:color="auto"/>
            </w:tcBorders>
            <w:shd w:val="clear" w:color="auto" w:fill="76923C"/>
          </w:tcPr>
          <w:p w14:paraId="138E2B5F" w14:textId="64A722A4" w:rsidR="00636D44" w:rsidRPr="00270975" w:rsidRDefault="007343F5" w:rsidP="00FF03A0">
            <w:pPr>
              <w:jc w:val="right"/>
              <w:rPr>
                <w:b/>
                <w:bCs/>
                <w:sz w:val="20"/>
                <w:szCs w:val="20"/>
                <w:lang w:val="en-GB"/>
              </w:rPr>
            </w:pPr>
            <w:bookmarkStart w:id="73" w:name="_Hlk34687039"/>
            <w:r w:rsidRPr="00270975">
              <w:rPr>
                <w:b/>
                <w:bCs/>
                <w:color w:val="FFFFFF" w:themeColor="background1"/>
                <w:sz w:val="20"/>
                <w:szCs w:val="20"/>
                <w:lang w:val="en-GB"/>
              </w:rPr>
              <w:t xml:space="preserve">Volume of Timber Harvested in 2005-2014, </w:t>
            </w:r>
            <w:r w:rsidR="00FF03A0" w:rsidRPr="00270975">
              <w:rPr>
                <w:b/>
                <w:bCs/>
                <w:color w:val="FFFFFF" w:themeColor="background1"/>
                <w:sz w:val="20"/>
                <w:szCs w:val="20"/>
                <w:lang w:val="en-GB"/>
              </w:rPr>
              <w:t>million cubic meters</w:t>
            </w:r>
          </w:p>
        </w:tc>
      </w:tr>
      <w:tr w:rsidR="007343F5" w:rsidRPr="00270975" w14:paraId="12664D5D" w14:textId="77777777" w:rsidTr="007343F5">
        <w:tc>
          <w:tcPr>
            <w:tcW w:w="4238" w:type="dxa"/>
            <w:shd w:val="clear" w:color="auto" w:fill="EAF1DD"/>
          </w:tcPr>
          <w:p w14:paraId="5A893DEC" w14:textId="77777777" w:rsidR="00636D44" w:rsidRPr="00270975" w:rsidRDefault="00636D44" w:rsidP="00636D44">
            <w:pPr>
              <w:rPr>
                <w:sz w:val="20"/>
                <w:szCs w:val="20"/>
                <w:lang w:val="en-GB"/>
              </w:rPr>
            </w:pPr>
            <w:r w:rsidRPr="00270975">
              <w:rPr>
                <w:sz w:val="20"/>
                <w:szCs w:val="20"/>
                <w:lang w:val="en-GB"/>
              </w:rPr>
              <w:t>2005</w:t>
            </w:r>
          </w:p>
        </w:tc>
        <w:tc>
          <w:tcPr>
            <w:tcW w:w="4678" w:type="dxa"/>
            <w:shd w:val="clear" w:color="auto" w:fill="EAF1DD"/>
          </w:tcPr>
          <w:p w14:paraId="5E1979E6" w14:textId="4AB581F7" w:rsidR="00636D44" w:rsidRPr="00270975" w:rsidRDefault="00636D44" w:rsidP="00636D44">
            <w:pPr>
              <w:rPr>
                <w:sz w:val="20"/>
                <w:szCs w:val="20"/>
                <w:lang w:val="en-GB"/>
              </w:rPr>
            </w:pPr>
            <w:r w:rsidRPr="00270975">
              <w:rPr>
                <w:sz w:val="20"/>
                <w:szCs w:val="20"/>
                <w:lang w:val="en-GB"/>
              </w:rPr>
              <w:t>17</w:t>
            </w:r>
            <w:r w:rsidR="00FF03A0" w:rsidRPr="00270975">
              <w:rPr>
                <w:sz w:val="20"/>
                <w:szCs w:val="20"/>
                <w:lang w:val="en-GB"/>
              </w:rPr>
              <w:t>.</w:t>
            </w:r>
            <w:r w:rsidRPr="00270975">
              <w:rPr>
                <w:sz w:val="20"/>
                <w:szCs w:val="20"/>
                <w:lang w:val="en-GB"/>
              </w:rPr>
              <w:t>1</w:t>
            </w:r>
          </w:p>
        </w:tc>
      </w:tr>
      <w:tr w:rsidR="007343F5" w:rsidRPr="00270975" w14:paraId="0D23A695" w14:textId="77777777" w:rsidTr="007343F5">
        <w:tc>
          <w:tcPr>
            <w:tcW w:w="4238" w:type="dxa"/>
            <w:shd w:val="clear" w:color="auto" w:fill="EAF1DD"/>
          </w:tcPr>
          <w:p w14:paraId="79B2B655" w14:textId="77777777" w:rsidR="00636D44" w:rsidRPr="00270975" w:rsidRDefault="00636D44" w:rsidP="00636D44">
            <w:pPr>
              <w:rPr>
                <w:sz w:val="20"/>
                <w:szCs w:val="20"/>
                <w:lang w:val="en-GB"/>
              </w:rPr>
            </w:pPr>
            <w:r w:rsidRPr="00270975">
              <w:rPr>
                <w:sz w:val="20"/>
                <w:szCs w:val="20"/>
                <w:lang w:val="en-GB"/>
              </w:rPr>
              <w:t>2006</w:t>
            </w:r>
          </w:p>
        </w:tc>
        <w:tc>
          <w:tcPr>
            <w:tcW w:w="4678" w:type="dxa"/>
            <w:shd w:val="clear" w:color="auto" w:fill="EAF1DD"/>
          </w:tcPr>
          <w:p w14:paraId="5809DB01" w14:textId="639A463D" w:rsidR="00636D44" w:rsidRPr="00270975" w:rsidRDefault="00636D44" w:rsidP="00636D44">
            <w:pPr>
              <w:rPr>
                <w:sz w:val="20"/>
                <w:szCs w:val="20"/>
                <w:lang w:val="en-GB"/>
              </w:rPr>
            </w:pPr>
            <w:r w:rsidRPr="00270975">
              <w:rPr>
                <w:sz w:val="20"/>
                <w:szCs w:val="20"/>
                <w:lang w:val="en-GB"/>
              </w:rPr>
              <w:t>17</w:t>
            </w:r>
            <w:r w:rsidR="00FF03A0" w:rsidRPr="00270975">
              <w:rPr>
                <w:sz w:val="20"/>
                <w:szCs w:val="20"/>
                <w:lang w:val="en-GB"/>
              </w:rPr>
              <w:t>.8</w:t>
            </w:r>
          </w:p>
        </w:tc>
      </w:tr>
      <w:tr w:rsidR="007343F5" w:rsidRPr="00270975" w14:paraId="5C9D66E1" w14:textId="77777777" w:rsidTr="007343F5">
        <w:tc>
          <w:tcPr>
            <w:tcW w:w="4238" w:type="dxa"/>
            <w:shd w:val="clear" w:color="auto" w:fill="EAF1DD"/>
          </w:tcPr>
          <w:p w14:paraId="2BBA6737" w14:textId="77777777" w:rsidR="00636D44" w:rsidRPr="00270975" w:rsidRDefault="00636D44" w:rsidP="00636D44">
            <w:pPr>
              <w:rPr>
                <w:sz w:val="20"/>
                <w:szCs w:val="20"/>
                <w:lang w:val="en-GB"/>
              </w:rPr>
            </w:pPr>
            <w:r w:rsidRPr="00270975">
              <w:rPr>
                <w:sz w:val="20"/>
                <w:szCs w:val="20"/>
                <w:lang w:val="en-GB"/>
              </w:rPr>
              <w:t>2007</w:t>
            </w:r>
          </w:p>
        </w:tc>
        <w:tc>
          <w:tcPr>
            <w:tcW w:w="4678" w:type="dxa"/>
            <w:shd w:val="clear" w:color="auto" w:fill="EAF1DD"/>
          </w:tcPr>
          <w:p w14:paraId="29166E97" w14:textId="078B3A62" w:rsidR="00636D44" w:rsidRPr="00270975" w:rsidRDefault="00636D44" w:rsidP="00636D44">
            <w:pPr>
              <w:rPr>
                <w:sz w:val="20"/>
                <w:szCs w:val="20"/>
                <w:lang w:val="en-GB"/>
              </w:rPr>
            </w:pPr>
            <w:r w:rsidRPr="00270975">
              <w:rPr>
                <w:sz w:val="20"/>
                <w:szCs w:val="20"/>
                <w:lang w:val="en-GB"/>
              </w:rPr>
              <w:t>19</w:t>
            </w:r>
            <w:r w:rsidR="00FF03A0" w:rsidRPr="00270975">
              <w:rPr>
                <w:sz w:val="20"/>
                <w:szCs w:val="20"/>
                <w:lang w:val="en-GB"/>
              </w:rPr>
              <w:t>.</w:t>
            </w:r>
            <w:r w:rsidRPr="00270975">
              <w:rPr>
                <w:sz w:val="20"/>
                <w:szCs w:val="20"/>
                <w:lang w:val="en-GB"/>
              </w:rPr>
              <w:t>0</w:t>
            </w:r>
          </w:p>
        </w:tc>
      </w:tr>
      <w:tr w:rsidR="007343F5" w:rsidRPr="00270975" w14:paraId="2FF47484" w14:textId="77777777" w:rsidTr="007343F5">
        <w:tc>
          <w:tcPr>
            <w:tcW w:w="4238" w:type="dxa"/>
            <w:shd w:val="clear" w:color="auto" w:fill="EAF1DD"/>
          </w:tcPr>
          <w:p w14:paraId="1D809F48" w14:textId="77777777" w:rsidR="00636D44" w:rsidRPr="00270975" w:rsidRDefault="00636D44" w:rsidP="00636D44">
            <w:pPr>
              <w:rPr>
                <w:sz w:val="20"/>
                <w:szCs w:val="20"/>
                <w:lang w:val="en-GB"/>
              </w:rPr>
            </w:pPr>
            <w:r w:rsidRPr="00270975">
              <w:rPr>
                <w:sz w:val="20"/>
                <w:szCs w:val="20"/>
                <w:lang w:val="en-GB"/>
              </w:rPr>
              <w:t>2008</w:t>
            </w:r>
          </w:p>
        </w:tc>
        <w:tc>
          <w:tcPr>
            <w:tcW w:w="4678" w:type="dxa"/>
            <w:shd w:val="clear" w:color="auto" w:fill="EAF1DD"/>
          </w:tcPr>
          <w:p w14:paraId="6A6B42F4" w14:textId="1B451FF1" w:rsidR="00636D44" w:rsidRPr="00270975" w:rsidRDefault="00636D44" w:rsidP="00636D44">
            <w:pPr>
              <w:rPr>
                <w:sz w:val="20"/>
                <w:szCs w:val="20"/>
                <w:lang w:val="en-GB"/>
              </w:rPr>
            </w:pPr>
            <w:r w:rsidRPr="00270975">
              <w:rPr>
                <w:sz w:val="20"/>
                <w:szCs w:val="20"/>
                <w:lang w:val="en-GB"/>
              </w:rPr>
              <w:t>17</w:t>
            </w:r>
            <w:r w:rsidR="00FF03A0" w:rsidRPr="00270975">
              <w:rPr>
                <w:sz w:val="20"/>
                <w:szCs w:val="20"/>
                <w:lang w:val="en-GB"/>
              </w:rPr>
              <w:t>.7</w:t>
            </w:r>
          </w:p>
        </w:tc>
      </w:tr>
      <w:tr w:rsidR="007343F5" w:rsidRPr="00270975" w14:paraId="0B9F5566" w14:textId="77777777" w:rsidTr="007343F5">
        <w:tc>
          <w:tcPr>
            <w:tcW w:w="4238" w:type="dxa"/>
            <w:shd w:val="clear" w:color="auto" w:fill="EAF1DD"/>
          </w:tcPr>
          <w:p w14:paraId="5026B8AE" w14:textId="77777777" w:rsidR="00636D44" w:rsidRPr="00270975" w:rsidRDefault="00636D44" w:rsidP="00636D44">
            <w:pPr>
              <w:rPr>
                <w:sz w:val="20"/>
                <w:szCs w:val="20"/>
                <w:lang w:val="en-GB"/>
              </w:rPr>
            </w:pPr>
            <w:r w:rsidRPr="00270975">
              <w:rPr>
                <w:sz w:val="20"/>
                <w:szCs w:val="20"/>
                <w:lang w:val="en-GB"/>
              </w:rPr>
              <w:t>2009</w:t>
            </w:r>
          </w:p>
        </w:tc>
        <w:tc>
          <w:tcPr>
            <w:tcW w:w="4678" w:type="dxa"/>
            <w:shd w:val="clear" w:color="auto" w:fill="EAF1DD"/>
          </w:tcPr>
          <w:p w14:paraId="7887C50C" w14:textId="28CE59B9" w:rsidR="00636D44" w:rsidRPr="00270975" w:rsidRDefault="00636D44" w:rsidP="00636D44">
            <w:pPr>
              <w:rPr>
                <w:sz w:val="20"/>
                <w:szCs w:val="20"/>
                <w:lang w:val="en-GB"/>
              </w:rPr>
            </w:pPr>
            <w:r w:rsidRPr="00270975">
              <w:rPr>
                <w:sz w:val="20"/>
                <w:szCs w:val="20"/>
                <w:lang w:val="en-GB"/>
              </w:rPr>
              <w:t>15</w:t>
            </w:r>
            <w:r w:rsidR="00FF03A0" w:rsidRPr="00270975">
              <w:rPr>
                <w:sz w:val="20"/>
                <w:szCs w:val="20"/>
                <w:lang w:val="en-GB"/>
              </w:rPr>
              <w:t>.9</w:t>
            </w:r>
          </w:p>
        </w:tc>
      </w:tr>
      <w:tr w:rsidR="007343F5" w:rsidRPr="00270975" w14:paraId="64213D3E" w14:textId="77777777" w:rsidTr="007343F5">
        <w:tc>
          <w:tcPr>
            <w:tcW w:w="4238" w:type="dxa"/>
            <w:shd w:val="clear" w:color="auto" w:fill="EAF1DD"/>
          </w:tcPr>
          <w:p w14:paraId="7A9BDD3A" w14:textId="77777777" w:rsidR="00636D44" w:rsidRPr="00270975" w:rsidRDefault="00636D44" w:rsidP="00636D44">
            <w:pPr>
              <w:rPr>
                <w:sz w:val="20"/>
                <w:szCs w:val="20"/>
                <w:lang w:val="en-GB"/>
              </w:rPr>
            </w:pPr>
            <w:r w:rsidRPr="00270975">
              <w:rPr>
                <w:sz w:val="20"/>
                <w:szCs w:val="20"/>
                <w:lang w:val="en-GB"/>
              </w:rPr>
              <w:t>2010</w:t>
            </w:r>
          </w:p>
        </w:tc>
        <w:tc>
          <w:tcPr>
            <w:tcW w:w="4678" w:type="dxa"/>
            <w:shd w:val="clear" w:color="auto" w:fill="EAF1DD"/>
          </w:tcPr>
          <w:p w14:paraId="4882FC98" w14:textId="2CC19E1D" w:rsidR="00636D44" w:rsidRPr="00270975" w:rsidRDefault="00636D44" w:rsidP="00636D44">
            <w:pPr>
              <w:rPr>
                <w:sz w:val="20"/>
                <w:szCs w:val="20"/>
                <w:lang w:val="en-GB"/>
              </w:rPr>
            </w:pPr>
            <w:r w:rsidRPr="00270975">
              <w:rPr>
                <w:sz w:val="20"/>
                <w:szCs w:val="20"/>
                <w:lang w:val="en-GB"/>
              </w:rPr>
              <w:t>18</w:t>
            </w:r>
            <w:r w:rsidR="00FF03A0" w:rsidRPr="00270975">
              <w:rPr>
                <w:sz w:val="20"/>
                <w:szCs w:val="20"/>
                <w:lang w:val="en-GB"/>
              </w:rPr>
              <w:t>.1</w:t>
            </w:r>
          </w:p>
        </w:tc>
      </w:tr>
      <w:tr w:rsidR="007343F5" w:rsidRPr="00270975" w14:paraId="55C780B1" w14:textId="77777777" w:rsidTr="007343F5">
        <w:tc>
          <w:tcPr>
            <w:tcW w:w="4238" w:type="dxa"/>
            <w:shd w:val="clear" w:color="auto" w:fill="EAF1DD"/>
          </w:tcPr>
          <w:p w14:paraId="6A374E2F" w14:textId="77777777" w:rsidR="00636D44" w:rsidRPr="00270975" w:rsidRDefault="00636D44" w:rsidP="00636D44">
            <w:pPr>
              <w:rPr>
                <w:sz w:val="20"/>
                <w:szCs w:val="20"/>
                <w:lang w:val="en-GB"/>
              </w:rPr>
            </w:pPr>
            <w:r w:rsidRPr="00270975">
              <w:rPr>
                <w:sz w:val="20"/>
                <w:szCs w:val="20"/>
                <w:lang w:val="en-GB"/>
              </w:rPr>
              <w:t>2011</w:t>
            </w:r>
          </w:p>
        </w:tc>
        <w:tc>
          <w:tcPr>
            <w:tcW w:w="4678" w:type="dxa"/>
            <w:shd w:val="clear" w:color="auto" w:fill="EAF1DD"/>
          </w:tcPr>
          <w:p w14:paraId="66BF5908" w14:textId="7DA36C4B" w:rsidR="00636D44" w:rsidRPr="00270975" w:rsidRDefault="00636D44" w:rsidP="00636D44">
            <w:pPr>
              <w:rPr>
                <w:sz w:val="20"/>
                <w:szCs w:val="20"/>
                <w:lang w:val="en-GB"/>
              </w:rPr>
            </w:pPr>
            <w:r w:rsidRPr="00270975">
              <w:rPr>
                <w:sz w:val="20"/>
                <w:szCs w:val="20"/>
                <w:lang w:val="en-GB"/>
              </w:rPr>
              <w:t>19</w:t>
            </w:r>
            <w:r w:rsidR="00FF03A0" w:rsidRPr="00270975">
              <w:rPr>
                <w:sz w:val="20"/>
                <w:szCs w:val="20"/>
                <w:lang w:val="en-GB"/>
              </w:rPr>
              <w:t>.</w:t>
            </w:r>
            <w:r w:rsidRPr="00270975">
              <w:rPr>
                <w:sz w:val="20"/>
                <w:szCs w:val="20"/>
                <w:lang w:val="en-GB"/>
              </w:rPr>
              <w:t>7</w:t>
            </w:r>
          </w:p>
        </w:tc>
      </w:tr>
      <w:tr w:rsidR="007343F5" w:rsidRPr="00270975" w14:paraId="1DF9C013" w14:textId="77777777" w:rsidTr="007343F5">
        <w:tc>
          <w:tcPr>
            <w:tcW w:w="4238" w:type="dxa"/>
            <w:shd w:val="clear" w:color="auto" w:fill="EAF1DD"/>
          </w:tcPr>
          <w:p w14:paraId="61A0D8A5" w14:textId="77777777" w:rsidR="00636D44" w:rsidRPr="00270975" w:rsidRDefault="00636D44" w:rsidP="00636D44">
            <w:pPr>
              <w:rPr>
                <w:sz w:val="20"/>
                <w:szCs w:val="20"/>
                <w:lang w:val="en-GB"/>
              </w:rPr>
            </w:pPr>
            <w:r w:rsidRPr="00270975">
              <w:rPr>
                <w:sz w:val="20"/>
                <w:szCs w:val="20"/>
                <w:lang w:val="en-GB"/>
              </w:rPr>
              <w:t>2012</w:t>
            </w:r>
          </w:p>
        </w:tc>
        <w:tc>
          <w:tcPr>
            <w:tcW w:w="4678" w:type="dxa"/>
            <w:shd w:val="clear" w:color="auto" w:fill="EAF1DD"/>
          </w:tcPr>
          <w:p w14:paraId="72A423AE" w14:textId="3E6C46D4" w:rsidR="00636D44" w:rsidRPr="00270975" w:rsidRDefault="00636D44" w:rsidP="00636D44">
            <w:pPr>
              <w:rPr>
                <w:sz w:val="20"/>
                <w:szCs w:val="20"/>
                <w:lang w:val="en-GB"/>
              </w:rPr>
            </w:pPr>
            <w:r w:rsidRPr="00270975">
              <w:rPr>
                <w:sz w:val="20"/>
                <w:szCs w:val="20"/>
                <w:lang w:val="en-GB"/>
              </w:rPr>
              <w:t>19</w:t>
            </w:r>
            <w:r w:rsidR="00FF03A0" w:rsidRPr="00270975">
              <w:rPr>
                <w:sz w:val="20"/>
                <w:szCs w:val="20"/>
                <w:lang w:val="en-GB"/>
              </w:rPr>
              <w:t>.8</w:t>
            </w:r>
          </w:p>
        </w:tc>
      </w:tr>
      <w:tr w:rsidR="007343F5" w:rsidRPr="00270975" w14:paraId="06B22D95" w14:textId="77777777" w:rsidTr="007343F5">
        <w:tc>
          <w:tcPr>
            <w:tcW w:w="4238" w:type="dxa"/>
            <w:shd w:val="clear" w:color="auto" w:fill="EAF1DD"/>
          </w:tcPr>
          <w:p w14:paraId="114A681B" w14:textId="77777777" w:rsidR="00636D44" w:rsidRPr="00270975" w:rsidRDefault="00636D44" w:rsidP="00636D44">
            <w:pPr>
              <w:rPr>
                <w:sz w:val="20"/>
                <w:szCs w:val="20"/>
                <w:lang w:val="en-GB"/>
              </w:rPr>
            </w:pPr>
            <w:r w:rsidRPr="00270975">
              <w:rPr>
                <w:sz w:val="20"/>
                <w:szCs w:val="20"/>
                <w:lang w:val="en-GB"/>
              </w:rPr>
              <w:t>2013</w:t>
            </w:r>
          </w:p>
        </w:tc>
        <w:tc>
          <w:tcPr>
            <w:tcW w:w="4678" w:type="dxa"/>
            <w:shd w:val="clear" w:color="auto" w:fill="EAF1DD"/>
          </w:tcPr>
          <w:p w14:paraId="6E88870F" w14:textId="23B53759" w:rsidR="00636D44" w:rsidRPr="00270975" w:rsidRDefault="00636D44" w:rsidP="00636D44">
            <w:pPr>
              <w:rPr>
                <w:sz w:val="20"/>
                <w:szCs w:val="20"/>
                <w:lang w:val="en-GB"/>
              </w:rPr>
            </w:pPr>
            <w:r w:rsidRPr="00270975">
              <w:rPr>
                <w:sz w:val="20"/>
                <w:szCs w:val="20"/>
                <w:lang w:val="en-GB"/>
              </w:rPr>
              <w:t>20</w:t>
            </w:r>
            <w:r w:rsidR="00FF03A0" w:rsidRPr="00270975">
              <w:rPr>
                <w:sz w:val="20"/>
                <w:szCs w:val="20"/>
                <w:lang w:val="en-GB"/>
              </w:rPr>
              <w:t>.</w:t>
            </w:r>
            <w:r w:rsidRPr="00270975">
              <w:rPr>
                <w:sz w:val="20"/>
                <w:szCs w:val="20"/>
                <w:lang w:val="en-GB"/>
              </w:rPr>
              <w:t>3</w:t>
            </w:r>
          </w:p>
        </w:tc>
      </w:tr>
      <w:tr w:rsidR="007343F5" w:rsidRPr="00270975" w14:paraId="0C3D043C" w14:textId="77777777" w:rsidTr="007343F5">
        <w:tc>
          <w:tcPr>
            <w:tcW w:w="4238" w:type="dxa"/>
            <w:shd w:val="clear" w:color="auto" w:fill="EAF1DD"/>
          </w:tcPr>
          <w:p w14:paraId="7C8B6C97" w14:textId="00A73DEE" w:rsidR="00636D44" w:rsidRPr="00270975" w:rsidRDefault="00636D44" w:rsidP="00636D44">
            <w:pPr>
              <w:rPr>
                <w:sz w:val="20"/>
                <w:szCs w:val="20"/>
                <w:lang w:val="en-GB"/>
              </w:rPr>
            </w:pPr>
            <w:r w:rsidRPr="00270975">
              <w:rPr>
                <w:sz w:val="20"/>
                <w:szCs w:val="20"/>
                <w:lang w:val="en-GB"/>
              </w:rPr>
              <w:t>2014</w:t>
            </w:r>
            <w:r w:rsidR="007343F5" w:rsidRPr="00270975">
              <w:rPr>
                <w:sz w:val="20"/>
                <w:szCs w:val="20"/>
                <w:lang w:val="en-GB"/>
              </w:rPr>
              <w:t>*</w:t>
            </w:r>
          </w:p>
        </w:tc>
        <w:tc>
          <w:tcPr>
            <w:tcW w:w="4678" w:type="dxa"/>
            <w:shd w:val="clear" w:color="auto" w:fill="EAF1DD"/>
          </w:tcPr>
          <w:p w14:paraId="0BD1D74B" w14:textId="54C1D110" w:rsidR="00636D44" w:rsidRPr="00270975" w:rsidRDefault="00636D44" w:rsidP="00636D44">
            <w:pPr>
              <w:rPr>
                <w:sz w:val="20"/>
                <w:szCs w:val="20"/>
                <w:lang w:val="en-GB"/>
              </w:rPr>
            </w:pPr>
            <w:r w:rsidRPr="00270975">
              <w:rPr>
                <w:sz w:val="20"/>
                <w:szCs w:val="20"/>
                <w:lang w:val="en-GB"/>
              </w:rPr>
              <w:t>20</w:t>
            </w:r>
            <w:r w:rsidR="007343F5" w:rsidRPr="00270975">
              <w:rPr>
                <w:sz w:val="20"/>
                <w:szCs w:val="20"/>
                <w:lang w:val="en-GB"/>
              </w:rPr>
              <w:t>.7</w:t>
            </w:r>
          </w:p>
        </w:tc>
      </w:tr>
      <w:tr w:rsidR="007343F5" w:rsidRPr="00270975" w14:paraId="37F5A4F5" w14:textId="77777777" w:rsidTr="007343F5">
        <w:tc>
          <w:tcPr>
            <w:tcW w:w="4238" w:type="dxa"/>
            <w:shd w:val="clear" w:color="auto" w:fill="EAF1DD"/>
          </w:tcPr>
          <w:p w14:paraId="42B220FB" w14:textId="1DBB3503" w:rsidR="007343F5" w:rsidRPr="00270975" w:rsidRDefault="007343F5" w:rsidP="00636D44">
            <w:pPr>
              <w:rPr>
                <w:sz w:val="20"/>
                <w:szCs w:val="20"/>
                <w:lang w:val="en-GB"/>
              </w:rPr>
            </w:pPr>
            <w:r w:rsidRPr="00270975">
              <w:rPr>
                <w:sz w:val="20"/>
                <w:szCs w:val="20"/>
                <w:lang w:val="en-GB"/>
              </w:rPr>
              <w:t>2015*</w:t>
            </w:r>
          </w:p>
        </w:tc>
        <w:tc>
          <w:tcPr>
            <w:tcW w:w="4678" w:type="dxa"/>
            <w:shd w:val="clear" w:color="auto" w:fill="EAF1DD"/>
          </w:tcPr>
          <w:p w14:paraId="46A80C88" w14:textId="536B00B3" w:rsidR="007343F5" w:rsidRPr="00270975" w:rsidRDefault="007343F5" w:rsidP="00636D44">
            <w:pPr>
              <w:rPr>
                <w:sz w:val="20"/>
                <w:szCs w:val="20"/>
                <w:lang w:val="en-GB"/>
              </w:rPr>
            </w:pPr>
            <w:r w:rsidRPr="00270975">
              <w:rPr>
                <w:sz w:val="20"/>
                <w:szCs w:val="20"/>
                <w:lang w:val="en-GB"/>
              </w:rPr>
              <w:t>21.9</w:t>
            </w:r>
          </w:p>
        </w:tc>
      </w:tr>
      <w:tr w:rsidR="007343F5" w:rsidRPr="00270975" w14:paraId="13B9F215" w14:textId="77777777" w:rsidTr="007343F5">
        <w:tc>
          <w:tcPr>
            <w:tcW w:w="4238" w:type="dxa"/>
            <w:shd w:val="clear" w:color="auto" w:fill="EAF1DD"/>
          </w:tcPr>
          <w:p w14:paraId="449CBCF0" w14:textId="3790BB0C" w:rsidR="007343F5" w:rsidRPr="00270975" w:rsidRDefault="007343F5" w:rsidP="00636D44">
            <w:pPr>
              <w:rPr>
                <w:sz w:val="20"/>
                <w:szCs w:val="20"/>
                <w:lang w:val="en-GB"/>
              </w:rPr>
            </w:pPr>
            <w:r w:rsidRPr="00270975">
              <w:rPr>
                <w:sz w:val="20"/>
                <w:szCs w:val="20"/>
                <w:lang w:val="en-GB"/>
              </w:rPr>
              <w:t>2016*</w:t>
            </w:r>
          </w:p>
        </w:tc>
        <w:tc>
          <w:tcPr>
            <w:tcW w:w="4678" w:type="dxa"/>
            <w:shd w:val="clear" w:color="auto" w:fill="EAF1DD"/>
          </w:tcPr>
          <w:p w14:paraId="4C0916BB" w14:textId="17D8CBB4" w:rsidR="007343F5" w:rsidRPr="00270975" w:rsidRDefault="007343F5" w:rsidP="00636D44">
            <w:pPr>
              <w:rPr>
                <w:sz w:val="20"/>
                <w:szCs w:val="20"/>
                <w:lang w:val="en-GB"/>
              </w:rPr>
            </w:pPr>
            <w:r w:rsidRPr="00270975">
              <w:rPr>
                <w:sz w:val="20"/>
                <w:szCs w:val="20"/>
                <w:lang w:val="en-GB"/>
              </w:rPr>
              <w:t>22.6</w:t>
            </w:r>
          </w:p>
        </w:tc>
      </w:tr>
      <w:tr w:rsidR="007343F5" w:rsidRPr="00270975" w14:paraId="4620811B" w14:textId="77777777" w:rsidTr="007343F5">
        <w:tc>
          <w:tcPr>
            <w:tcW w:w="4238" w:type="dxa"/>
            <w:shd w:val="clear" w:color="auto" w:fill="EAF1DD"/>
          </w:tcPr>
          <w:p w14:paraId="7E0C276A" w14:textId="6C748E24" w:rsidR="007343F5" w:rsidRPr="00270975" w:rsidRDefault="007343F5" w:rsidP="00636D44">
            <w:pPr>
              <w:rPr>
                <w:sz w:val="20"/>
                <w:szCs w:val="20"/>
                <w:lang w:val="en-GB"/>
              </w:rPr>
            </w:pPr>
            <w:r w:rsidRPr="00270975">
              <w:rPr>
                <w:sz w:val="20"/>
                <w:szCs w:val="20"/>
                <w:lang w:val="en-GB"/>
              </w:rPr>
              <w:t>2017*</w:t>
            </w:r>
          </w:p>
        </w:tc>
        <w:tc>
          <w:tcPr>
            <w:tcW w:w="4678" w:type="dxa"/>
            <w:shd w:val="clear" w:color="auto" w:fill="EAF1DD"/>
          </w:tcPr>
          <w:p w14:paraId="33510458" w14:textId="1508AAAB" w:rsidR="007343F5" w:rsidRPr="00270975" w:rsidRDefault="007343F5" w:rsidP="00636D44">
            <w:pPr>
              <w:rPr>
                <w:sz w:val="20"/>
                <w:szCs w:val="20"/>
                <w:lang w:val="en-GB"/>
              </w:rPr>
            </w:pPr>
            <w:r w:rsidRPr="00270975">
              <w:rPr>
                <w:sz w:val="20"/>
                <w:szCs w:val="20"/>
                <w:lang w:val="en-GB"/>
              </w:rPr>
              <w:t>21.9</w:t>
            </w:r>
          </w:p>
        </w:tc>
      </w:tr>
      <w:tr w:rsidR="007343F5" w:rsidRPr="00270975" w14:paraId="2919F187" w14:textId="77777777" w:rsidTr="007343F5">
        <w:tc>
          <w:tcPr>
            <w:tcW w:w="4238" w:type="dxa"/>
            <w:shd w:val="clear" w:color="auto" w:fill="EAF1DD"/>
          </w:tcPr>
          <w:p w14:paraId="0DD43191" w14:textId="7254A632" w:rsidR="007343F5" w:rsidRPr="00270975" w:rsidRDefault="007343F5" w:rsidP="00636D44">
            <w:pPr>
              <w:rPr>
                <w:sz w:val="20"/>
                <w:szCs w:val="20"/>
                <w:lang w:val="en-GB"/>
              </w:rPr>
            </w:pPr>
            <w:r w:rsidRPr="00270975">
              <w:rPr>
                <w:sz w:val="20"/>
                <w:szCs w:val="20"/>
                <w:lang w:val="en-GB"/>
              </w:rPr>
              <w:t>2018*</w:t>
            </w:r>
          </w:p>
        </w:tc>
        <w:tc>
          <w:tcPr>
            <w:tcW w:w="4678" w:type="dxa"/>
            <w:shd w:val="clear" w:color="auto" w:fill="EAF1DD"/>
          </w:tcPr>
          <w:p w14:paraId="207E51EF" w14:textId="32231D07" w:rsidR="007343F5" w:rsidRPr="00270975" w:rsidRDefault="007343F5" w:rsidP="00636D44">
            <w:pPr>
              <w:rPr>
                <w:sz w:val="20"/>
                <w:szCs w:val="20"/>
                <w:lang w:val="en-GB"/>
              </w:rPr>
            </w:pPr>
            <w:r w:rsidRPr="00270975">
              <w:rPr>
                <w:sz w:val="20"/>
                <w:szCs w:val="20"/>
                <w:lang w:val="en-GB"/>
              </w:rPr>
              <w:t>22.5</w:t>
            </w:r>
          </w:p>
        </w:tc>
      </w:tr>
      <w:tr w:rsidR="007343F5" w:rsidRPr="00270975" w14:paraId="601DAE28" w14:textId="77777777" w:rsidTr="007343F5">
        <w:tc>
          <w:tcPr>
            <w:tcW w:w="4238" w:type="dxa"/>
            <w:shd w:val="clear" w:color="auto" w:fill="EAF1DD"/>
          </w:tcPr>
          <w:p w14:paraId="708F0AB6" w14:textId="70AF710A" w:rsidR="007343F5" w:rsidRPr="00270975" w:rsidRDefault="007343F5" w:rsidP="00636D44">
            <w:pPr>
              <w:rPr>
                <w:sz w:val="20"/>
                <w:szCs w:val="20"/>
                <w:lang w:val="en-GB"/>
              </w:rPr>
            </w:pPr>
            <w:r w:rsidRPr="00270975">
              <w:rPr>
                <w:sz w:val="20"/>
                <w:szCs w:val="20"/>
                <w:lang w:val="en-GB"/>
              </w:rPr>
              <w:t>2019*</w:t>
            </w:r>
          </w:p>
        </w:tc>
        <w:tc>
          <w:tcPr>
            <w:tcW w:w="4678" w:type="dxa"/>
            <w:shd w:val="clear" w:color="auto" w:fill="EAF1DD"/>
          </w:tcPr>
          <w:p w14:paraId="3A9ACFAB" w14:textId="30D1D5A8" w:rsidR="007343F5" w:rsidRPr="00270975" w:rsidRDefault="007343F5" w:rsidP="00636D44">
            <w:pPr>
              <w:rPr>
                <w:sz w:val="20"/>
                <w:szCs w:val="20"/>
                <w:lang w:val="en-GB"/>
              </w:rPr>
            </w:pPr>
            <w:r w:rsidRPr="00270975">
              <w:rPr>
                <w:sz w:val="20"/>
                <w:szCs w:val="20"/>
                <w:lang w:val="en-GB"/>
              </w:rPr>
              <w:t>20.9</w:t>
            </w:r>
          </w:p>
        </w:tc>
      </w:tr>
      <w:tr w:rsidR="00636D44" w:rsidRPr="00270975" w14:paraId="4BEFF910" w14:textId="77777777" w:rsidTr="007343F5">
        <w:tc>
          <w:tcPr>
            <w:tcW w:w="8916" w:type="dxa"/>
            <w:gridSpan w:val="2"/>
            <w:shd w:val="clear" w:color="auto" w:fill="EAF1DD"/>
          </w:tcPr>
          <w:p w14:paraId="1BD816D0" w14:textId="4442868D" w:rsidR="00636D44" w:rsidRPr="00270975" w:rsidRDefault="00636D44" w:rsidP="008372FC">
            <w:pPr>
              <w:rPr>
                <w:sz w:val="20"/>
                <w:szCs w:val="20"/>
                <w:lang w:val="en-GB"/>
              </w:rPr>
            </w:pPr>
            <w:r w:rsidRPr="00270975">
              <w:rPr>
                <w:sz w:val="20"/>
                <w:szCs w:val="20"/>
                <w:vertAlign w:val="superscript"/>
                <w:lang w:val="uk-UA"/>
              </w:rPr>
              <w:t>*</w:t>
            </w:r>
            <w:r w:rsidRPr="00270975">
              <w:rPr>
                <w:sz w:val="20"/>
                <w:szCs w:val="20"/>
                <w:lang w:val="uk-UA"/>
              </w:rPr>
              <w:t xml:space="preserve"> </w:t>
            </w:r>
            <w:r w:rsidRPr="00270975">
              <w:rPr>
                <w:sz w:val="20"/>
                <w:szCs w:val="20"/>
                <w:lang w:val="en-GB"/>
              </w:rPr>
              <w:t xml:space="preserve">Data exclude the temporarily occupied territory of the Autonomous Republic of Crimea, the city of Sevastopol and </w:t>
            </w:r>
            <w:r w:rsidR="008372FC">
              <w:rPr>
                <w:sz w:val="20"/>
                <w:szCs w:val="20"/>
                <w:lang w:val="en-GB"/>
              </w:rPr>
              <w:t>certain areas of</w:t>
            </w:r>
            <w:r w:rsidRPr="00270975">
              <w:rPr>
                <w:sz w:val="20"/>
                <w:szCs w:val="20"/>
                <w:lang w:val="en-GB"/>
              </w:rPr>
              <w:t xml:space="preserve"> the Donetsk and Luhansk regions.</w:t>
            </w:r>
          </w:p>
        </w:tc>
      </w:tr>
      <w:bookmarkEnd w:id="73"/>
    </w:tbl>
    <w:p w14:paraId="071033CA" w14:textId="77777777" w:rsidR="00810486" w:rsidRPr="00270975" w:rsidRDefault="00810486" w:rsidP="00810486">
      <w:pPr>
        <w:spacing w:after="120" w:line="360" w:lineRule="auto"/>
        <w:rPr>
          <w:szCs w:val="26"/>
          <w:lang w:val="en-GB"/>
        </w:rPr>
      </w:pPr>
    </w:p>
    <w:p w14:paraId="04D36EA6" w14:textId="1B5AC589" w:rsidR="0083118D" w:rsidRPr="003F63A1" w:rsidRDefault="00836632" w:rsidP="00DB47C5">
      <w:pPr>
        <w:pStyle w:val="a3"/>
        <w:numPr>
          <w:ilvl w:val="0"/>
          <w:numId w:val="19"/>
        </w:numPr>
        <w:spacing w:after="120" w:line="360" w:lineRule="auto"/>
        <w:rPr>
          <w:szCs w:val="26"/>
          <w:lang w:val="en-GB"/>
        </w:rPr>
      </w:pPr>
      <w:r w:rsidRPr="003F63A1">
        <w:rPr>
          <w:szCs w:val="26"/>
          <w:lang w:val="en-GB"/>
        </w:rPr>
        <w:t>S</w:t>
      </w:r>
      <w:r w:rsidR="00250CD4" w:rsidRPr="003F63A1">
        <w:rPr>
          <w:szCs w:val="26"/>
          <w:lang w:val="en-GB"/>
        </w:rPr>
        <w:t xml:space="preserve">ince 2009, there is a constant increase </w:t>
      </w:r>
      <w:r w:rsidR="00F76E47" w:rsidRPr="003F63A1">
        <w:rPr>
          <w:szCs w:val="26"/>
          <w:lang w:val="en-GB"/>
        </w:rPr>
        <w:t xml:space="preserve">in </w:t>
      </w:r>
      <w:r w:rsidR="00250CD4" w:rsidRPr="003F63A1">
        <w:rPr>
          <w:szCs w:val="26"/>
          <w:lang w:val="en-GB"/>
        </w:rPr>
        <w:t xml:space="preserve">timber harvesting. Since 2014, when Ukraine lost </w:t>
      </w:r>
      <w:r w:rsidR="00871071" w:rsidRPr="003F63A1">
        <w:rPr>
          <w:szCs w:val="26"/>
          <w:lang w:val="en-GB"/>
        </w:rPr>
        <w:t>control over certain its territories</w:t>
      </w:r>
      <w:r w:rsidR="00A920F1" w:rsidRPr="003F63A1">
        <w:rPr>
          <w:szCs w:val="26"/>
          <w:lang w:val="en-GB"/>
        </w:rPr>
        <w:t xml:space="preserve">, </w:t>
      </w:r>
      <w:r w:rsidR="00871071" w:rsidRPr="003F63A1">
        <w:rPr>
          <w:szCs w:val="26"/>
          <w:lang w:val="en-GB"/>
        </w:rPr>
        <w:t>no data has ever been submitted by forest users operating on the temporarily occupied territories</w:t>
      </w:r>
      <w:r w:rsidR="00A920F1" w:rsidRPr="003F63A1">
        <w:rPr>
          <w:szCs w:val="26"/>
          <w:lang w:val="en-GB"/>
        </w:rPr>
        <w:t>. Despite this</w:t>
      </w:r>
      <w:r w:rsidR="00871071" w:rsidRPr="003F63A1">
        <w:rPr>
          <w:szCs w:val="26"/>
          <w:lang w:val="en-GB"/>
        </w:rPr>
        <w:t xml:space="preserve">, there is still </w:t>
      </w:r>
      <w:r w:rsidR="00A920F1" w:rsidRPr="003F63A1">
        <w:rPr>
          <w:szCs w:val="26"/>
          <w:lang w:val="en-GB"/>
        </w:rPr>
        <w:t xml:space="preserve">a considerable increase in </w:t>
      </w:r>
      <w:r w:rsidR="004648C0" w:rsidRPr="003F63A1">
        <w:rPr>
          <w:szCs w:val="26"/>
          <w:lang w:val="en-GB"/>
        </w:rPr>
        <w:t xml:space="preserve">the </w:t>
      </w:r>
      <w:r w:rsidR="00A920F1" w:rsidRPr="003F63A1">
        <w:rPr>
          <w:szCs w:val="26"/>
          <w:lang w:val="en-GB"/>
        </w:rPr>
        <w:t>quantity of timber harvested per year.</w:t>
      </w:r>
    </w:p>
    <w:p w14:paraId="42102D6E" w14:textId="24D7FFBB" w:rsidR="0083118D" w:rsidRPr="003F63A1" w:rsidRDefault="00A920F1" w:rsidP="00DB47C5">
      <w:pPr>
        <w:pStyle w:val="a3"/>
        <w:numPr>
          <w:ilvl w:val="0"/>
          <w:numId w:val="19"/>
        </w:numPr>
        <w:spacing w:after="120" w:line="360" w:lineRule="auto"/>
        <w:rPr>
          <w:szCs w:val="26"/>
          <w:lang w:val="en-GB"/>
        </w:rPr>
      </w:pPr>
      <w:r w:rsidRPr="003F63A1">
        <w:rPr>
          <w:szCs w:val="26"/>
          <w:lang w:val="en-GB"/>
        </w:rPr>
        <w:t>The data for 201</w:t>
      </w:r>
      <w:r w:rsidR="00E73F77" w:rsidRPr="003F63A1">
        <w:rPr>
          <w:szCs w:val="26"/>
          <w:lang w:val="en-US"/>
        </w:rPr>
        <w:t>5</w:t>
      </w:r>
      <w:r w:rsidRPr="003F63A1">
        <w:rPr>
          <w:szCs w:val="26"/>
          <w:lang w:val="en-GB"/>
        </w:rPr>
        <w:t xml:space="preserve">, </w:t>
      </w:r>
      <w:r w:rsidR="00E73F77" w:rsidRPr="003F63A1">
        <w:rPr>
          <w:szCs w:val="26"/>
          <w:lang w:val="en-GB"/>
        </w:rPr>
        <w:t xml:space="preserve">which was </w:t>
      </w:r>
      <w:r w:rsidRPr="003F63A1">
        <w:rPr>
          <w:szCs w:val="26"/>
          <w:lang w:val="en-GB"/>
        </w:rPr>
        <w:t xml:space="preserve">available in </w:t>
      </w:r>
      <w:r w:rsidR="00E73F77" w:rsidRPr="003F63A1">
        <w:rPr>
          <w:szCs w:val="26"/>
          <w:lang w:val="en-GB"/>
        </w:rPr>
        <w:t xml:space="preserve">2016 when Draft Law No. 5495 (ultimately adopted in 2018 as </w:t>
      </w:r>
      <w:r w:rsidR="005A680C" w:rsidRPr="003F63A1">
        <w:rPr>
          <w:szCs w:val="26"/>
          <w:lang w:val="en-GB"/>
        </w:rPr>
        <w:t xml:space="preserve">Law of Ukraine No. </w:t>
      </w:r>
      <w:r w:rsidR="005A680C" w:rsidRPr="003F63A1">
        <w:rPr>
          <w:rStyle w:val="rvts44"/>
          <w:szCs w:val="26"/>
        </w:rPr>
        <w:t>2531-VIII</w:t>
      </w:r>
      <w:r w:rsidR="005A680C" w:rsidRPr="003F63A1">
        <w:rPr>
          <w:szCs w:val="26"/>
          <w:lang w:val="en-GB"/>
        </w:rPr>
        <w:t xml:space="preserve">, dated 6 September </w:t>
      </w:r>
      <w:r w:rsidR="005A680C" w:rsidRPr="003F63A1">
        <w:rPr>
          <w:szCs w:val="26"/>
          <w:lang w:val="en-GB"/>
        </w:rPr>
        <w:lastRenderedPageBreak/>
        <w:t>2018</w:t>
      </w:r>
      <w:r w:rsidR="00E73F77" w:rsidRPr="003F63A1">
        <w:rPr>
          <w:szCs w:val="26"/>
          <w:lang w:val="en-GB"/>
        </w:rPr>
        <w:t>) was submitted to the Ukrainian Parliament</w:t>
      </w:r>
      <w:r w:rsidR="005A680C" w:rsidRPr="003F63A1">
        <w:rPr>
          <w:szCs w:val="26"/>
          <w:lang w:val="en-GB"/>
        </w:rPr>
        <w:t>, show</w:t>
      </w:r>
      <w:r w:rsidR="00437964">
        <w:rPr>
          <w:szCs w:val="26"/>
          <w:lang w:val="en-GB"/>
        </w:rPr>
        <w:t>ed</w:t>
      </w:r>
      <w:r w:rsidR="005A680C" w:rsidRPr="003F63A1">
        <w:rPr>
          <w:szCs w:val="26"/>
          <w:lang w:val="en-GB"/>
        </w:rPr>
        <w:t xml:space="preserve"> that approximately 22 million cubic meters of timber had been harvested, which figure d</w:t>
      </w:r>
      <w:r w:rsidR="00437964">
        <w:rPr>
          <w:szCs w:val="26"/>
          <w:lang w:val="en-GB"/>
        </w:rPr>
        <w:t>id</w:t>
      </w:r>
      <w:r w:rsidR="005A680C" w:rsidRPr="003F63A1">
        <w:rPr>
          <w:szCs w:val="26"/>
          <w:lang w:val="en-GB"/>
        </w:rPr>
        <w:t xml:space="preserve"> not include any timber harvested </w:t>
      </w:r>
      <w:r w:rsidR="00836632" w:rsidRPr="003F63A1">
        <w:rPr>
          <w:szCs w:val="26"/>
          <w:lang w:val="en-GB"/>
        </w:rPr>
        <w:t>on the temporarily occupied territories of Ukraine</w:t>
      </w:r>
      <w:r w:rsidR="00FF1BF9" w:rsidRPr="003F63A1">
        <w:rPr>
          <w:szCs w:val="26"/>
          <w:lang w:val="en-GB"/>
        </w:rPr>
        <w:t xml:space="preserve">. </w:t>
      </w:r>
      <w:r w:rsidR="00836632" w:rsidRPr="003F63A1">
        <w:rPr>
          <w:szCs w:val="26"/>
          <w:lang w:val="en-GB"/>
        </w:rPr>
        <w:t>So, the actual figure of tim</w:t>
      </w:r>
      <w:r w:rsidR="00FF1BF9" w:rsidRPr="003F63A1">
        <w:rPr>
          <w:szCs w:val="26"/>
          <w:lang w:val="en-GB"/>
        </w:rPr>
        <w:t>ber harvested in 2015 on the whole territory of Ukraine was even higher</w:t>
      </w:r>
      <w:r w:rsidR="00CC2B22" w:rsidRPr="003F63A1">
        <w:rPr>
          <w:szCs w:val="26"/>
          <w:lang w:val="en-GB"/>
        </w:rPr>
        <w:t>.</w:t>
      </w:r>
    </w:p>
    <w:p w14:paraId="3BFABD77" w14:textId="77777777" w:rsidR="001C3F60" w:rsidRPr="003F63A1" w:rsidRDefault="00CC2B22" w:rsidP="00020B8F">
      <w:pPr>
        <w:pStyle w:val="a3"/>
        <w:numPr>
          <w:ilvl w:val="0"/>
          <w:numId w:val="19"/>
        </w:numPr>
        <w:spacing w:after="120" w:line="360" w:lineRule="auto"/>
        <w:rPr>
          <w:szCs w:val="26"/>
          <w:lang w:val="en-GB"/>
        </w:rPr>
      </w:pPr>
      <w:r w:rsidRPr="003F63A1">
        <w:rPr>
          <w:szCs w:val="26"/>
          <w:lang w:val="en-GB"/>
        </w:rPr>
        <w:t xml:space="preserve">The first version of Draft Law No. 5495 contained </w:t>
      </w:r>
      <w:r w:rsidR="0083118D" w:rsidRPr="003F63A1">
        <w:rPr>
          <w:szCs w:val="26"/>
          <w:lang w:val="en-GB"/>
        </w:rPr>
        <w:t xml:space="preserve">a </w:t>
      </w:r>
      <w:r w:rsidRPr="003F63A1">
        <w:rPr>
          <w:szCs w:val="26"/>
          <w:lang w:val="en-GB"/>
        </w:rPr>
        <w:t>figure of 20 million cubic meters</w:t>
      </w:r>
      <w:r w:rsidR="0083118D" w:rsidRPr="003F63A1">
        <w:rPr>
          <w:szCs w:val="26"/>
          <w:lang w:val="en-GB"/>
        </w:rPr>
        <w:t>.</w:t>
      </w:r>
      <w:r w:rsidRPr="003F63A1">
        <w:rPr>
          <w:rStyle w:val="af6"/>
          <w:szCs w:val="26"/>
          <w:lang w:val="en-GB"/>
        </w:rPr>
        <w:footnoteReference w:id="94"/>
      </w:r>
      <w:r w:rsidR="0083118D" w:rsidRPr="003F63A1">
        <w:rPr>
          <w:szCs w:val="26"/>
          <w:lang w:val="en-GB"/>
        </w:rPr>
        <w:t xml:space="preserve"> </w:t>
      </w:r>
      <w:r w:rsidR="00B7536A" w:rsidRPr="003F63A1">
        <w:rPr>
          <w:szCs w:val="26"/>
          <w:lang w:val="en-GB"/>
        </w:rPr>
        <w:t xml:space="preserve">However, in 2018, when the second version of Draft Law No. 5495 appeared </w:t>
      </w:r>
      <w:r w:rsidR="00BE0D9C" w:rsidRPr="003F63A1">
        <w:rPr>
          <w:szCs w:val="26"/>
          <w:lang w:val="en-GB"/>
        </w:rPr>
        <w:t>(</w:t>
      </w:r>
      <w:r w:rsidR="00B7536A" w:rsidRPr="003F63A1">
        <w:rPr>
          <w:szCs w:val="26"/>
          <w:lang w:val="en-GB"/>
        </w:rPr>
        <w:t>containing the current figure of 25 million cubic meters</w:t>
      </w:r>
      <w:r w:rsidR="00BE0D9C" w:rsidRPr="003F63A1">
        <w:rPr>
          <w:szCs w:val="26"/>
          <w:lang w:val="en-GB"/>
        </w:rPr>
        <w:t>)</w:t>
      </w:r>
      <w:r w:rsidR="00B7536A" w:rsidRPr="003F63A1">
        <w:rPr>
          <w:szCs w:val="26"/>
          <w:lang w:val="en-GB"/>
        </w:rPr>
        <w:t xml:space="preserve">, it was </w:t>
      </w:r>
      <w:r w:rsidR="00BE0D9C" w:rsidRPr="003F63A1">
        <w:rPr>
          <w:szCs w:val="26"/>
          <w:lang w:val="en-GB"/>
        </w:rPr>
        <w:t xml:space="preserve">apparent </w:t>
      </w:r>
      <w:r w:rsidR="00B7536A" w:rsidRPr="003F63A1">
        <w:rPr>
          <w:szCs w:val="26"/>
          <w:lang w:val="en-GB"/>
        </w:rPr>
        <w:t xml:space="preserve">that the volumes of </w:t>
      </w:r>
      <w:r w:rsidR="00BE0D9C" w:rsidRPr="003F63A1">
        <w:rPr>
          <w:szCs w:val="26"/>
          <w:lang w:val="en-GB"/>
        </w:rPr>
        <w:t>timber harvested were increasing</w:t>
      </w:r>
      <w:r w:rsidR="00537FDF" w:rsidRPr="003F63A1">
        <w:rPr>
          <w:szCs w:val="26"/>
          <w:lang w:val="en-GB"/>
        </w:rPr>
        <w:t>, notwithstanding that the statistics did not provide data from the temporarily occupied territories.</w:t>
      </w:r>
    </w:p>
    <w:p w14:paraId="2E115FF3" w14:textId="0B1837C9" w:rsidR="001C3F60" w:rsidRPr="003F63A1" w:rsidRDefault="001C3F60" w:rsidP="00DB47C5">
      <w:pPr>
        <w:pStyle w:val="a3"/>
        <w:numPr>
          <w:ilvl w:val="0"/>
          <w:numId w:val="19"/>
        </w:numPr>
        <w:spacing w:after="120" w:line="360" w:lineRule="auto"/>
        <w:rPr>
          <w:rFonts w:asciiTheme="minorHAnsi" w:eastAsiaTheme="minorEastAsia" w:hAnsiTheme="minorHAnsi" w:cstheme="minorBidi"/>
          <w:szCs w:val="26"/>
          <w:lang w:val="en-GB"/>
        </w:rPr>
      </w:pPr>
      <w:r w:rsidRPr="7A7A869F">
        <w:rPr>
          <w:lang w:val="en-GB"/>
        </w:rPr>
        <w:t>In light of the above, t</w:t>
      </w:r>
      <w:r w:rsidR="009A45DF" w:rsidRPr="7A7A869F">
        <w:rPr>
          <w:lang w:val="en-GB"/>
        </w:rPr>
        <w:t>he European Union</w:t>
      </w:r>
      <w:r w:rsidR="00020B8F" w:rsidRPr="7A7A869F">
        <w:rPr>
          <w:lang w:val="en-GB"/>
        </w:rPr>
        <w:t xml:space="preserve">’s </w:t>
      </w:r>
      <w:r w:rsidRPr="7A7A869F">
        <w:rPr>
          <w:lang w:val="en-GB"/>
        </w:rPr>
        <w:t>averments</w:t>
      </w:r>
      <w:r w:rsidR="00020B8F" w:rsidRPr="7A7A869F">
        <w:rPr>
          <w:lang w:val="en-GB"/>
        </w:rPr>
        <w:t xml:space="preserve"> that </w:t>
      </w:r>
      <w:r w:rsidR="00020B8F" w:rsidRPr="7A7A869F">
        <w:rPr>
          <w:rFonts w:eastAsia="Calibri"/>
          <w:lang w:val="en-GB"/>
        </w:rPr>
        <w:t xml:space="preserve">the 25 million </w:t>
      </w:r>
      <w:r w:rsidR="00020B8F" w:rsidRPr="7A7A869F">
        <w:rPr>
          <w:lang w:val="en-GB"/>
        </w:rPr>
        <w:t>cubic meters</w:t>
      </w:r>
      <w:r w:rsidR="00020B8F" w:rsidRPr="7A7A869F">
        <w:rPr>
          <w:rFonts w:eastAsia="Calibri"/>
          <w:lang w:val="en-GB"/>
        </w:rPr>
        <w:t xml:space="preserve"> consumption cap set by Ukraine </w:t>
      </w:r>
      <w:r w:rsidRPr="7A7A869F">
        <w:rPr>
          <w:lang w:val="en-GB"/>
        </w:rPr>
        <w:t>“</w:t>
      </w:r>
      <w:r w:rsidR="00020B8F" w:rsidRPr="7A7A869F">
        <w:rPr>
          <w:rFonts w:eastAsia="Calibri"/>
          <w:lang w:val="en-GB"/>
        </w:rPr>
        <w:t>does not impose any real and effective limitation on domestic consumption</w:t>
      </w:r>
      <w:r w:rsidRPr="7A7A869F">
        <w:rPr>
          <w:rFonts w:eastAsia="Calibri"/>
          <w:lang w:val="en-GB"/>
        </w:rPr>
        <w:t xml:space="preserve">” </w:t>
      </w:r>
      <w:r w:rsidR="00C161BA" w:rsidRPr="7A7A869F">
        <w:rPr>
          <w:rFonts w:eastAsia="Calibri"/>
          <w:lang w:val="en-GB"/>
        </w:rPr>
        <w:t>or that it is “</w:t>
      </w:r>
      <w:r w:rsidR="00C161BA" w:rsidRPr="7A7A869F">
        <w:rPr>
          <w:lang w:val="en-GB"/>
        </w:rPr>
        <w:t>purely theoretical”</w:t>
      </w:r>
      <w:r w:rsidR="00C161BA" w:rsidRPr="7A7A869F">
        <w:rPr>
          <w:rStyle w:val="af6"/>
          <w:rFonts w:eastAsia="Calibri"/>
          <w:lang w:val="en-GB"/>
        </w:rPr>
        <w:footnoteReference w:id="95"/>
      </w:r>
      <w:r w:rsidR="00C161BA" w:rsidRPr="7A7A869F">
        <w:rPr>
          <w:rFonts w:eastAsia="Calibri"/>
          <w:lang w:val="en-GB"/>
        </w:rPr>
        <w:t xml:space="preserve"> because “the volume of wood harvested in Ukraine is constantly well below the limitation”</w:t>
      </w:r>
      <w:r w:rsidR="00DB47C5" w:rsidRPr="7A7A869F">
        <w:rPr>
          <w:rStyle w:val="af6"/>
          <w:rFonts w:eastAsia="Calibri"/>
          <w:lang w:val="en-GB"/>
        </w:rPr>
        <w:footnoteReference w:id="96"/>
      </w:r>
      <w:r w:rsidR="00C161BA" w:rsidRPr="7A7A869F">
        <w:rPr>
          <w:rFonts w:eastAsia="Calibri"/>
          <w:lang w:val="en-GB"/>
        </w:rPr>
        <w:t xml:space="preserve"> </w:t>
      </w:r>
      <w:r w:rsidR="00DB47C5" w:rsidRPr="7A7A869F">
        <w:rPr>
          <w:rFonts w:eastAsia="Calibri"/>
          <w:lang w:val="en-GB"/>
        </w:rPr>
        <w:t>d</w:t>
      </w:r>
      <w:r w:rsidR="00D81413" w:rsidRPr="7A7A869F">
        <w:rPr>
          <w:rFonts w:eastAsia="Calibri"/>
          <w:lang w:val="en-GB"/>
        </w:rPr>
        <w:t xml:space="preserve">o not take into account the fact that the volumes of timber harvested do not include any volumes of timber harvested on the </w:t>
      </w:r>
      <w:r w:rsidR="00D81413" w:rsidRPr="7A7A869F">
        <w:rPr>
          <w:lang w:val="en-GB"/>
        </w:rPr>
        <w:t>temporarily occupied territories</w:t>
      </w:r>
      <w:r w:rsidR="00556618" w:rsidRPr="7A7A869F">
        <w:rPr>
          <w:lang w:val="en-GB"/>
        </w:rPr>
        <w:t>.</w:t>
      </w:r>
    </w:p>
    <w:p w14:paraId="63C2F755" w14:textId="4D25A67C" w:rsidR="00E30EB1" w:rsidRPr="003F63A1" w:rsidRDefault="00E30EB1" w:rsidP="00DB47C5">
      <w:pPr>
        <w:pStyle w:val="a3"/>
        <w:numPr>
          <w:ilvl w:val="0"/>
          <w:numId w:val="19"/>
        </w:numPr>
        <w:spacing w:after="120" w:line="360" w:lineRule="auto"/>
        <w:rPr>
          <w:lang w:val="en-GB"/>
        </w:rPr>
      </w:pPr>
      <w:r w:rsidRPr="7A7A869F">
        <w:rPr>
          <w:lang w:val="en-GB"/>
        </w:rPr>
        <w:t xml:space="preserve">In light of the above, Ukraine </w:t>
      </w:r>
      <w:r w:rsidR="00556618" w:rsidRPr="7A7A869F">
        <w:rPr>
          <w:lang w:val="en-GB"/>
        </w:rPr>
        <w:t xml:space="preserve">reiterates its submissions </w:t>
      </w:r>
      <w:r w:rsidRPr="7A7A869F">
        <w:rPr>
          <w:lang w:val="en-GB"/>
        </w:rPr>
        <w:t xml:space="preserve">that </w:t>
      </w:r>
      <w:r w:rsidRPr="7A7A869F">
        <w:rPr>
          <w:rFonts w:eastAsia="Calibri"/>
          <w:lang w:val="en-GB"/>
        </w:rPr>
        <w:t>the limitation on the domestic use of unprocessed timber of 25 million cubic meters per year introduced in 2018</w:t>
      </w:r>
      <w:r w:rsidR="00556618" w:rsidRPr="7A7A869F">
        <w:rPr>
          <w:rFonts w:eastAsia="Calibri"/>
          <w:lang w:val="en-GB"/>
        </w:rPr>
        <w:t xml:space="preserve"> imposes the </w:t>
      </w:r>
      <w:r w:rsidR="00556618" w:rsidRPr="7A7A869F">
        <w:rPr>
          <w:lang w:val="en-GB"/>
        </w:rPr>
        <w:t xml:space="preserve">real and actual restriction on </w:t>
      </w:r>
      <w:r w:rsidR="00556618" w:rsidRPr="7A7A869F">
        <w:rPr>
          <w:lang w:val="en-US"/>
        </w:rPr>
        <w:t>domestic consumption of unprocessed timber applicable to the whole territory of Ukraine.</w:t>
      </w:r>
    </w:p>
    <w:p w14:paraId="18071061" w14:textId="104EB66F" w:rsidR="005024CD" w:rsidRPr="003F63A1" w:rsidRDefault="005024CD" w:rsidP="006414D1">
      <w:pPr>
        <w:pStyle w:val="2"/>
        <w:rPr>
          <w:rFonts w:cs="Times New Roman"/>
          <w:lang w:val="en-GB"/>
        </w:rPr>
      </w:pPr>
      <w:bookmarkStart w:id="74" w:name="_Toc52886591"/>
      <w:bookmarkStart w:id="75" w:name="_Toc52896896"/>
      <w:r w:rsidRPr="003F63A1">
        <w:rPr>
          <w:rFonts w:cs="Times New Roman"/>
          <w:lang w:val="en-GB"/>
        </w:rPr>
        <w:t>Question 14</w:t>
      </w:r>
      <w:r w:rsidR="006414D1" w:rsidRPr="003F63A1">
        <w:rPr>
          <w:rFonts w:cs="Times New Roman"/>
          <w:lang w:val="en-GB"/>
        </w:rPr>
        <w:t xml:space="preserve"> - Relationship between Article 36 of the </w:t>
      </w:r>
      <w:r w:rsidR="008A2A45" w:rsidRPr="003F63A1">
        <w:rPr>
          <w:rFonts w:cs="Times New Roman"/>
          <w:lang w:val="en-GB"/>
        </w:rPr>
        <w:t>Association Agreement</w:t>
      </w:r>
      <w:r w:rsidR="006414D1" w:rsidRPr="003F63A1">
        <w:rPr>
          <w:rFonts w:cs="Times New Roman"/>
          <w:lang w:val="en-GB"/>
        </w:rPr>
        <w:t xml:space="preserve">, Article XX of the GATT 1994 and Chapter 13 of the </w:t>
      </w:r>
      <w:r w:rsidR="008A2A45" w:rsidRPr="003F63A1">
        <w:rPr>
          <w:rFonts w:cs="Times New Roman"/>
          <w:lang w:val="en-GB"/>
        </w:rPr>
        <w:t>Association Agreement</w:t>
      </w:r>
      <w:bookmarkEnd w:id="74"/>
      <w:bookmarkEnd w:id="75"/>
    </w:p>
    <w:p w14:paraId="620C201F" w14:textId="26D9A064" w:rsidR="005024CD" w:rsidRPr="003F63A1" w:rsidRDefault="005024CD" w:rsidP="005024CD">
      <w:pPr>
        <w:spacing w:after="120"/>
        <w:jc w:val="both"/>
        <w:rPr>
          <w:sz w:val="26"/>
          <w:szCs w:val="26"/>
          <w:lang w:val="en-GB"/>
        </w:rPr>
      </w:pPr>
      <w:r w:rsidRPr="003F63A1">
        <w:rPr>
          <w:b/>
          <w:bCs/>
          <w:sz w:val="26"/>
          <w:szCs w:val="26"/>
          <w:lang w:val="en-GB"/>
        </w:rPr>
        <w:t>MR Victor MURAVIOV</w:t>
      </w:r>
      <w:r w:rsidRPr="003F63A1">
        <w:rPr>
          <w:sz w:val="26"/>
          <w:szCs w:val="26"/>
          <w:lang w:val="en-GB"/>
        </w:rPr>
        <w:t>: “</w:t>
      </w:r>
      <w:r w:rsidR="005D2644" w:rsidRPr="003F63A1">
        <w:rPr>
          <w:sz w:val="26"/>
          <w:szCs w:val="26"/>
          <w:lang w:val="en-GB"/>
        </w:rPr>
        <w:t xml:space="preserve">What is a relationship between Article 36 of the Association Agreement, Article </w:t>
      </w:r>
      <w:r w:rsidR="00BD45FE" w:rsidRPr="003F63A1">
        <w:rPr>
          <w:sz w:val="26"/>
          <w:szCs w:val="26"/>
          <w:lang w:val="en-GB"/>
        </w:rPr>
        <w:t xml:space="preserve">XX </w:t>
      </w:r>
      <w:r w:rsidR="005D2644" w:rsidRPr="003F63A1">
        <w:rPr>
          <w:sz w:val="26"/>
          <w:szCs w:val="26"/>
          <w:lang w:val="en-GB"/>
        </w:rPr>
        <w:t xml:space="preserve">of WTO and Chapter 13 of </w:t>
      </w:r>
      <w:r w:rsidR="00BD45FE" w:rsidRPr="003F63A1">
        <w:rPr>
          <w:sz w:val="26"/>
          <w:szCs w:val="26"/>
          <w:lang w:val="en-GB"/>
        </w:rPr>
        <w:t xml:space="preserve">the </w:t>
      </w:r>
      <w:r w:rsidR="005D2644" w:rsidRPr="003F63A1">
        <w:rPr>
          <w:sz w:val="26"/>
          <w:szCs w:val="26"/>
          <w:lang w:val="en-GB"/>
        </w:rPr>
        <w:t xml:space="preserve">Association Agreement as a legal basis for Ukrainian </w:t>
      </w:r>
      <w:r w:rsidR="00BD45FE" w:rsidRPr="003F63A1">
        <w:rPr>
          <w:sz w:val="26"/>
          <w:szCs w:val="26"/>
          <w:lang w:val="en-GB"/>
        </w:rPr>
        <w:t>defence</w:t>
      </w:r>
      <w:r w:rsidR="005D2644" w:rsidRPr="003F63A1">
        <w:rPr>
          <w:sz w:val="26"/>
          <w:szCs w:val="26"/>
          <w:lang w:val="en-GB"/>
        </w:rPr>
        <w:t>?</w:t>
      </w:r>
      <w:r w:rsidRPr="003F63A1">
        <w:rPr>
          <w:sz w:val="26"/>
          <w:szCs w:val="26"/>
          <w:lang w:val="en-GB"/>
        </w:rPr>
        <w:t>”</w:t>
      </w:r>
    </w:p>
    <w:p w14:paraId="45C500F5" w14:textId="154C826D" w:rsidR="004B2AC5" w:rsidRPr="003F63A1" w:rsidRDefault="00ED3189" w:rsidP="004B2AC5">
      <w:pPr>
        <w:pStyle w:val="a3"/>
        <w:numPr>
          <w:ilvl w:val="0"/>
          <w:numId w:val="19"/>
        </w:numPr>
        <w:spacing w:after="120" w:line="360" w:lineRule="auto"/>
        <w:rPr>
          <w:lang w:val="en-GB"/>
        </w:rPr>
      </w:pPr>
      <w:r w:rsidRPr="7A7A869F">
        <w:rPr>
          <w:lang w:val="en-GB"/>
        </w:rPr>
        <w:lastRenderedPageBreak/>
        <w:t xml:space="preserve">Ukraine has already presented its legal arguments </w:t>
      </w:r>
      <w:r w:rsidR="006D38D8" w:rsidRPr="7A7A869F">
        <w:rPr>
          <w:lang w:val="en-GB"/>
        </w:rPr>
        <w:t>on this issue,</w:t>
      </w:r>
      <w:r w:rsidR="006D38D8" w:rsidRPr="7A7A869F">
        <w:rPr>
          <w:rStyle w:val="af6"/>
          <w:lang w:val="en-GB"/>
        </w:rPr>
        <w:footnoteReference w:id="97"/>
      </w:r>
      <w:r w:rsidR="006D38D8" w:rsidRPr="7A7A869F">
        <w:rPr>
          <w:lang w:val="en-GB"/>
        </w:rPr>
        <w:t xml:space="preserve"> </w:t>
      </w:r>
      <w:r w:rsidR="00B67339" w:rsidRPr="7A7A869F">
        <w:rPr>
          <w:lang w:val="en-GB"/>
        </w:rPr>
        <w:t>and in sum its</w:t>
      </w:r>
      <w:r w:rsidR="004B2AC5" w:rsidRPr="7A7A869F">
        <w:rPr>
          <w:lang w:val="en-GB"/>
        </w:rPr>
        <w:t xml:space="preserve"> argument is as follows:</w:t>
      </w:r>
    </w:p>
    <w:p w14:paraId="0E80D40F" w14:textId="600A31A1" w:rsidR="004B2AC5" w:rsidRPr="003F63A1" w:rsidRDefault="004B2AC5" w:rsidP="00D7048D">
      <w:pPr>
        <w:pStyle w:val="a3"/>
        <w:numPr>
          <w:ilvl w:val="1"/>
          <w:numId w:val="19"/>
        </w:numPr>
        <w:spacing w:after="120" w:line="360" w:lineRule="auto"/>
        <w:rPr>
          <w:lang w:val="en-GB"/>
        </w:rPr>
      </w:pPr>
      <w:r w:rsidRPr="7A7A869F">
        <w:rPr>
          <w:lang w:val="en-GB"/>
        </w:rPr>
        <w:t>The subject matter of the dispute is at its core a Chapter 13 dispute and should be addressed under Chapter 13 proceedings, not under Chapter 14 proceedings;</w:t>
      </w:r>
    </w:p>
    <w:p w14:paraId="7F540B4D" w14:textId="20827556" w:rsidR="004B2AC5" w:rsidRPr="003F63A1" w:rsidRDefault="004B2AC5" w:rsidP="00D7048D">
      <w:pPr>
        <w:pStyle w:val="a3"/>
        <w:numPr>
          <w:ilvl w:val="1"/>
          <w:numId w:val="19"/>
        </w:numPr>
        <w:spacing w:after="120" w:line="360" w:lineRule="auto"/>
        <w:rPr>
          <w:lang w:val="en-GB"/>
        </w:rPr>
      </w:pPr>
      <w:r w:rsidRPr="7A7A869F">
        <w:rPr>
          <w:lang w:val="en-GB"/>
        </w:rPr>
        <w:t>If the Arbitration Panel is of another view, that is, if it considers that it must apply the trade rules to this case, then it has to properly interpret Article 35</w:t>
      </w:r>
      <w:r w:rsidR="00D7048D" w:rsidRPr="7A7A869F">
        <w:rPr>
          <w:lang w:val="en-GB"/>
        </w:rPr>
        <w:t xml:space="preserve"> of the Association Agreement</w:t>
      </w:r>
      <w:r w:rsidRPr="7A7A869F">
        <w:rPr>
          <w:lang w:val="en-GB"/>
        </w:rPr>
        <w:t xml:space="preserve">. Ukraine argues that Article 35 reads as creating obligations from the moment the </w:t>
      </w:r>
      <w:r w:rsidR="00734ABA" w:rsidRPr="7A7A869F">
        <w:rPr>
          <w:lang w:val="en-GB"/>
        </w:rPr>
        <w:t>free</w:t>
      </w:r>
      <w:r w:rsidR="00734ABA" w:rsidRPr="7A7A869F">
        <w:rPr>
          <w:lang w:val="uk-UA"/>
        </w:rPr>
        <w:t>-</w:t>
      </w:r>
      <w:r w:rsidRPr="7A7A869F">
        <w:rPr>
          <w:lang w:val="en-GB"/>
        </w:rPr>
        <w:t xml:space="preserve">trade area will be in </w:t>
      </w:r>
      <w:r w:rsidR="00F90053" w:rsidRPr="7A7A869F">
        <w:rPr>
          <w:lang w:val="en-US"/>
        </w:rPr>
        <w:t xml:space="preserve">full </w:t>
      </w:r>
      <w:r w:rsidRPr="7A7A869F">
        <w:rPr>
          <w:lang w:val="en-GB"/>
        </w:rPr>
        <w:t>place, that is, in 2025 – or before if the Parties so agree.</w:t>
      </w:r>
    </w:p>
    <w:p w14:paraId="56429098" w14:textId="77777777" w:rsidR="004B2AC5" w:rsidRPr="003F63A1" w:rsidRDefault="004B2AC5" w:rsidP="00D7048D">
      <w:pPr>
        <w:pStyle w:val="a3"/>
        <w:numPr>
          <w:ilvl w:val="1"/>
          <w:numId w:val="19"/>
        </w:numPr>
        <w:spacing w:after="120" w:line="360" w:lineRule="auto"/>
        <w:rPr>
          <w:lang w:val="en-GB"/>
        </w:rPr>
      </w:pPr>
      <w:r w:rsidRPr="7A7A869F">
        <w:rPr>
          <w:lang w:val="en-GB"/>
        </w:rPr>
        <w:t>If the Arbitration Panel is of the view that Article 35 develops its binding effects as of now, Ukraine argues that its measures are covered by the exceptions of Article 36, which incorporates by reference the exceptions of Article XX of the GATT 1994.</w:t>
      </w:r>
    </w:p>
    <w:p w14:paraId="0DFF5756" w14:textId="021D14E5" w:rsidR="00D92044" w:rsidRPr="003F63A1" w:rsidRDefault="00D92044" w:rsidP="004A751B">
      <w:pPr>
        <w:pStyle w:val="2"/>
        <w:rPr>
          <w:rFonts w:cs="Times New Roman"/>
          <w:lang w:val="en-GB"/>
        </w:rPr>
      </w:pPr>
      <w:bookmarkStart w:id="76" w:name="_Toc52886592"/>
      <w:bookmarkStart w:id="77" w:name="_Toc52896897"/>
      <w:r w:rsidRPr="003F63A1">
        <w:rPr>
          <w:rFonts w:cs="Times New Roman"/>
          <w:lang w:val="en-GB"/>
        </w:rPr>
        <w:t>Question 15</w:t>
      </w:r>
      <w:bookmarkEnd w:id="76"/>
      <w:bookmarkEnd w:id="77"/>
    </w:p>
    <w:p w14:paraId="3232FCC8" w14:textId="75B44670" w:rsidR="00D92044" w:rsidRPr="003F63A1" w:rsidRDefault="00D92044" w:rsidP="00703AF4">
      <w:pPr>
        <w:spacing w:after="120"/>
        <w:jc w:val="both"/>
        <w:rPr>
          <w:sz w:val="26"/>
          <w:szCs w:val="26"/>
          <w:lang w:val="en-GB"/>
        </w:rPr>
      </w:pPr>
      <w:r w:rsidRPr="003F63A1">
        <w:rPr>
          <w:b/>
          <w:bCs/>
          <w:sz w:val="26"/>
          <w:szCs w:val="26"/>
          <w:lang w:val="en-GB"/>
        </w:rPr>
        <w:t>MR Victor MURAVIOV</w:t>
      </w:r>
      <w:r w:rsidRPr="003F63A1">
        <w:rPr>
          <w:sz w:val="26"/>
          <w:szCs w:val="26"/>
          <w:lang w:val="en-GB"/>
        </w:rPr>
        <w:t xml:space="preserve">: “Which legal measures are taken by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in order to cooperate with Ukraine in preventing </w:t>
      </w:r>
      <w:r w:rsidR="004648C0" w:rsidRPr="003F63A1">
        <w:rPr>
          <w:sz w:val="26"/>
          <w:szCs w:val="26"/>
          <w:lang w:val="en-GB"/>
        </w:rPr>
        <w:t xml:space="preserve">the </w:t>
      </w:r>
      <w:r w:rsidRPr="003F63A1">
        <w:rPr>
          <w:sz w:val="26"/>
          <w:szCs w:val="26"/>
          <w:lang w:val="en-GB"/>
        </w:rPr>
        <w:t>smuggling of timber, except for the continued bilateral dialogue, cooperation and assistance provided to Ukraine in that context?</w:t>
      </w:r>
      <w:r w:rsidR="00703AF4" w:rsidRPr="003F63A1">
        <w:rPr>
          <w:sz w:val="26"/>
          <w:szCs w:val="26"/>
          <w:lang w:val="en-GB"/>
        </w:rPr>
        <w:t xml:space="preserve"> </w:t>
      </w:r>
    </w:p>
    <w:p w14:paraId="17C641AE" w14:textId="1BE13D67" w:rsidR="00D92044" w:rsidRPr="003F63A1" w:rsidRDefault="00D92044" w:rsidP="00703AF4">
      <w:pPr>
        <w:spacing w:after="120"/>
        <w:jc w:val="both"/>
        <w:rPr>
          <w:sz w:val="26"/>
          <w:szCs w:val="26"/>
          <w:lang w:val="en-GB"/>
        </w:rPr>
      </w:pPr>
      <w:r w:rsidRPr="003F63A1">
        <w:rPr>
          <w:sz w:val="26"/>
          <w:szCs w:val="26"/>
          <w:lang w:val="en-GB"/>
        </w:rPr>
        <w:t xml:space="preserve">Are indistinctly applicable rules allowed in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(under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law) for export regulations?”</w:t>
      </w:r>
    </w:p>
    <w:p w14:paraId="2BD275F9" w14:textId="2AFD643F" w:rsidR="00D92044" w:rsidRPr="003F63A1" w:rsidRDefault="00D92044" w:rsidP="00D92044">
      <w:pPr>
        <w:pStyle w:val="a3"/>
        <w:numPr>
          <w:ilvl w:val="0"/>
          <w:numId w:val="19"/>
        </w:numPr>
        <w:spacing w:after="120" w:line="360" w:lineRule="auto"/>
        <w:rPr>
          <w:lang w:val="en-GB"/>
        </w:rPr>
      </w:pPr>
      <w:r w:rsidRPr="7A7A869F">
        <w:rPr>
          <w:lang w:val="en-GB"/>
        </w:rPr>
        <w:t xml:space="preserve">A question for the </w:t>
      </w:r>
      <w:r w:rsidR="003F63A1" w:rsidRPr="7A7A869F">
        <w:rPr>
          <w:lang w:val="en-GB"/>
        </w:rPr>
        <w:t>European Union</w:t>
      </w:r>
      <w:r w:rsidRPr="7A7A869F">
        <w:rPr>
          <w:lang w:val="en-GB"/>
        </w:rPr>
        <w:t>.</w:t>
      </w:r>
    </w:p>
    <w:p w14:paraId="6C61399B" w14:textId="2BB84C41" w:rsidR="00E240D5" w:rsidRPr="003F63A1" w:rsidRDefault="00E240D5" w:rsidP="004A751B">
      <w:pPr>
        <w:pStyle w:val="2"/>
        <w:rPr>
          <w:rFonts w:cs="Times New Roman"/>
          <w:lang w:val="en-GB"/>
        </w:rPr>
      </w:pPr>
      <w:bookmarkStart w:id="78" w:name="_Toc52886593"/>
      <w:bookmarkStart w:id="79" w:name="_Toc52896898"/>
      <w:r w:rsidRPr="003F63A1">
        <w:rPr>
          <w:rFonts w:cs="Times New Roman"/>
          <w:lang w:val="en-GB"/>
        </w:rPr>
        <w:t>Question 16</w:t>
      </w:r>
      <w:bookmarkEnd w:id="78"/>
      <w:bookmarkEnd w:id="79"/>
    </w:p>
    <w:p w14:paraId="0A6D7E04" w14:textId="55FB97D5" w:rsidR="00E240D5" w:rsidRPr="003F63A1" w:rsidRDefault="00E240D5" w:rsidP="00E240D5">
      <w:pPr>
        <w:spacing w:after="120"/>
        <w:jc w:val="both"/>
        <w:rPr>
          <w:sz w:val="26"/>
          <w:szCs w:val="26"/>
          <w:lang w:val="en-GB"/>
        </w:rPr>
      </w:pPr>
      <w:r w:rsidRPr="003F63A1">
        <w:rPr>
          <w:b/>
          <w:bCs/>
          <w:sz w:val="26"/>
          <w:szCs w:val="26"/>
          <w:lang w:val="en-GB"/>
        </w:rPr>
        <w:t>MR Giorgio SACERDOTI</w:t>
      </w:r>
      <w:r w:rsidRPr="003F63A1">
        <w:rPr>
          <w:rStyle w:val="st"/>
          <w:sz w:val="26"/>
          <w:szCs w:val="26"/>
          <w:lang w:val="en-GB"/>
        </w:rPr>
        <w:t xml:space="preserve">: </w:t>
      </w:r>
      <w:r w:rsidRPr="003F63A1">
        <w:rPr>
          <w:sz w:val="26"/>
          <w:szCs w:val="26"/>
          <w:lang w:val="en-GB"/>
        </w:rPr>
        <w:t xml:space="preserve">“What does the Association Agreement provide on customs duties on wood export from Ukraine to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or other, and that would be </w:t>
      </w:r>
      <w:r w:rsidR="0079369E" w:rsidRPr="003F63A1">
        <w:rPr>
          <w:sz w:val="26"/>
          <w:szCs w:val="26"/>
          <w:lang w:val="en-GB"/>
        </w:rPr>
        <w:t>phased</w:t>
      </w:r>
      <w:r w:rsidRPr="003F63A1">
        <w:rPr>
          <w:sz w:val="26"/>
          <w:szCs w:val="26"/>
          <w:lang w:val="en-GB"/>
        </w:rPr>
        <w:t xml:space="preserve"> out in the transitory period </w:t>
      </w:r>
      <w:r w:rsidR="0006262E" w:rsidRPr="003F63A1">
        <w:rPr>
          <w:sz w:val="26"/>
          <w:szCs w:val="26"/>
          <w:lang w:val="en-GB"/>
        </w:rPr>
        <w:t xml:space="preserve">to zero </w:t>
      </w:r>
      <w:r w:rsidRPr="003F63A1">
        <w:rPr>
          <w:sz w:val="26"/>
          <w:szCs w:val="26"/>
          <w:lang w:val="en-GB"/>
        </w:rPr>
        <w:t>a preferential tariff or no tariff at all on imports of 4403 and 4407?</w:t>
      </w:r>
    </w:p>
    <w:p w14:paraId="3367CA71" w14:textId="77777777" w:rsidR="00E240D5" w:rsidRPr="003F63A1" w:rsidRDefault="00E240D5" w:rsidP="00E240D5">
      <w:pPr>
        <w:spacing w:after="120"/>
        <w:jc w:val="both"/>
        <w:rPr>
          <w:sz w:val="26"/>
          <w:szCs w:val="26"/>
          <w:lang w:val="en-GB"/>
        </w:rPr>
      </w:pPr>
      <w:r w:rsidRPr="003F63A1">
        <w:rPr>
          <w:sz w:val="26"/>
          <w:szCs w:val="26"/>
          <w:lang w:val="en-GB"/>
        </w:rPr>
        <w:t>[…]</w:t>
      </w:r>
    </w:p>
    <w:p w14:paraId="68EBF14F" w14:textId="73F9D293" w:rsidR="00E240D5" w:rsidRPr="003F63A1" w:rsidRDefault="00E240D5" w:rsidP="00E240D5">
      <w:pPr>
        <w:spacing w:after="120"/>
        <w:jc w:val="both"/>
        <w:rPr>
          <w:sz w:val="26"/>
          <w:szCs w:val="26"/>
          <w:lang w:val="en-GB"/>
        </w:rPr>
      </w:pPr>
      <w:r w:rsidRPr="003F63A1">
        <w:rPr>
          <w:sz w:val="26"/>
          <w:szCs w:val="26"/>
          <w:lang w:val="en-GB"/>
        </w:rPr>
        <w:lastRenderedPageBreak/>
        <w:t xml:space="preserve">I want to affirm whether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has an import duty on wood from Ukraine, because in that case illegal logging and imports into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would also mean </w:t>
      </w:r>
      <w:r w:rsidR="004648C0" w:rsidRPr="003F63A1">
        <w:rPr>
          <w:sz w:val="26"/>
          <w:szCs w:val="26"/>
          <w:lang w:val="en-GB"/>
        </w:rPr>
        <w:t xml:space="preserve">a </w:t>
      </w:r>
      <w:r w:rsidRPr="003F63A1">
        <w:rPr>
          <w:sz w:val="26"/>
          <w:szCs w:val="26"/>
          <w:lang w:val="en-GB"/>
        </w:rPr>
        <w:t xml:space="preserve">loss for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custom</w:t>
      </w:r>
      <w:r w:rsidR="004648C0" w:rsidRPr="003F63A1">
        <w:rPr>
          <w:sz w:val="26"/>
          <w:szCs w:val="26"/>
          <w:lang w:val="en-GB"/>
        </w:rPr>
        <w:t>s</w:t>
      </w:r>
      <w:r w:rsidRPr="003F63A1">
        <w:rPr>
          <w:sz w:val="26"/>
          <w:szCs w:val="26"/>
          <w:lang w:val="en-GB"/>
        </w:rPr>
        <w:t>.”</w:t>
      </w:r>
    </w:p>
    <w:p w14:paraId="004E2FEC" w14:textId="5210549A" w:rsidR="00E240D5" w:rsidRPr="003F63A1" w:rsidRDefault="00E240D5" w:rsidP="00E240D5">
      <w:pPr>
        <w:pStyle w:val="a3"/>
        <w:numPr>
          <w:ilvl w:val="0"/>
          <w:numId w:val="19"/>
        </w:numPr>
        <w:spacing w:after="120" w:line="360" w:lineRule="auto"/>
        <w:rPr>
          <w:lang w:val="en-GB"/>
        </w:rPr>
      </w:pPr>
      <w:r w:rsidRPr="7A7A869F">
        <w:rPr>
          <w:lang w:val="en-GB"/>
        </w:rPr>
        <w:t xml:space="preserve">A question for the </w:t>
      </w:r>
      <w:r w:rsidR="003F63A1" w:rsidRPr="7A7A869F">
        <w:rPr>
          <w:lang w:val="en-GB"/>
        </w:rPr>
        <w:t>European Union</w:t>
      </w:r>
      <w:r w:rsidRPr="7A7A869F">
        <w:rPr>
          <w:lang w:val="en-GB"/>
        </w:rPr>
        <w:t>.</w:t>
      </w:r>
    </w:p>
    <w:p w14:paraId="0535DF0A" w14:textId="0FDF498E" w:rsidR="00E240D5" w:rsidRPr="003F63A1" w:rsidRDefault="00E240D5" w:rsidP="004A751B">
      <w:pPr>
        <w:pStyle w:val="2"/>
        <w:rPr>
          <w:rFonts w:cs="Times New Roman"/>
          <w:lang w:val="en-GB"/>
        </w:rPr>
      </w:pPr>
      <w:bookmarkStart w:id="80" w:name="_Toc52886594"/>
      <w:bookmarkStart w:id="81" w:name="_Toc52896899"/>
      <w:r w:rsidRPr="003F63A1">
        <w:rPr>
          <w:rFonts w:cs="Times New Roman"/>
          <w:lang w:val="en-GB"/>
        </w:rPr>
        <w:t>Question 17</w:t>
      </w:r>
      <w:r w:rsidR="004A751B" w:rsidRPr="003F63A1">
        <w:rPr>
          <w:rFonts w:cs="Times New Roman"/>
          <w:lang w:val="en-GB"/>
        </w:rPr>
        <w:t xml:space="preserve"> – How many Ukrainian forests are temporary occupied?</w:t>
      </w:r>
      <w:bookmarkEnd w:id="80"/>
      <w:bookmarkEnd w:id="81"/>
    </w:p>
    <w:p w14:paraId="7EBA23D3" w14:textId="01254A2D" w:rsidR="00E240D5" w:rsidRPr="003F63A1" w:rsidRDefault="00E240D5" w:rsidP="00E240D5">
      <w:pPr>
        <w:spacing w:after="120"/>
        <w:jc w:val="both"/>
        <w:rPr>
          <w:sz w:val="26"/>
          <w:szCs w:val="26"/>
          <w:lang w:val="en-GB"/>
        </w:rPr>
      </w:pPr>
      <w:r w:rsidRPr="003F63A1">
        <w:rPr>
          <w:rStyle w:val="st"/>
          <w:b/>
          <w:bCs/>
          <w:sz w:val="26"/>
          <w:szCs w:val="26"/>
          <w:lang w:val="en-GB"/>
        </w:rPr>
        <w:t>MR Christian HÄBERLI</w:t>
      </w:r>
      <w:r w:rsidRPr="003F63A1">
        <w:rPr>
          <w:rStyle w:val="st"/>
          <w:sz w:val="26"/>
          <w:szCs w:val="26"/>
          <w:lang w:val="en-GB"/>
        </w:rPr>
        <w:t xml:space="preserve">: </w:t>
      </w:r>
      <w:r w:rsidRPr="003F63A1">
        <w:rPr>
          <w:sz w:val="26"/>
          <w:szCs w:val="26"/>
          <w:lang w:val="en-GB"/>
        </w:rPr>
        <w:t>“I would like to come back on a question on the territories occupied by Russia. And I am trying to look for the extent of the forests of Ukraine in those areas. I start with the written submission of Ukraine, para</w:t>
      </w:r>
      <w:r w:rsidR="000E3086">
        <w:rPr>
          <w:sz w:val="26"/>
          <w:szCs w:val="26"/>
          <w:lang w:val="en-GB"/>
        </w:rPr>
        <w:t>graph</w:t>
      </w:r>
      <w:r w:rsidRPr="003F63A1">
        <w:rPr>
          <w:sz w:val="26"/>
          <w:szCs w:val="26"/>
          <w:lang w:val="en-GB"/>
        </w:rPr>
        <w:t xml:space="preserve"> 3.1.1. Forests of Ukraine, where you explain to us that forests are grown in three natural zones: mixed forests, forest step and step, including in Crimea and the Carpathians mountains. And then, after an explanation, what it means for the natural zones, for forest zones and so on so forth, you say that for Crimea and Carpathians mountains the percentage is 90%. But I would like to know whether you can give us a figure for the total commercially valuable forest reserves, presently occupied by Russia. The total in terms of, if you like, hectares or what, and as a percentage of the total commercially available forest reserve of Ukraine. If you can give us such a percentage, we can estimate the impact of the occupation on, what you called this morning, your needs for natural resources, including, I mean energy resources, not only coal, but also including energy, including forests.</w:t>
      </w:r>
    </w:p>
    <w:p w14:paraId="45FD4166" w14:textId="77777777" w:rsidR="00E240D5" w:rsidRPr="003F63A1" w:rsidRDefault="00E240D5" w:rsidP="00E240D5">
      <w:pPr>
        <w:spacing w:after="120"/>
        <w:jc w:val="both"/>
        <w:rPr>
          <w:sz w:val="26"/>
          <w:szCs w:val="26"/>
          <w:lang w:val="en-GB"/>
        </w:rPr>
      </w:pPr>
      <w:r w:rsidRPr="003F63A1">
        <w:rPr>
          <w:sz w:val="26"/>
          <w:szCs w:val="26"/>
          <w:lang w:val="en-GB"/>
        </w:rPr>
        <w:t>[…]</w:t>
      </w:r>
    </w:p>
    <w:p w14:paraId="7EDF4D4D" w14:textId="17E2EB3A" w:rsidR="00E240D5" w:rsidRPr="003F63A1" w:rsidRDefault="00CB2C64" w:rsidP="00E240D5">
      <w:pPr>
        <w:spacing w:after="120"/>
        <w:jc w:val="both"/>
        <w:rPr>
          <w:sz w:val="26"/>
          <w:szCs w:val="26"/>
          <w:lang w:val="en-GB"/>
        </w:rPr>
      </w:pPr>
      <w:r w:rsidRPr="003F63A1">
        <w:rPr>
          <w:sz w:val="26"/>
          <w:szCs w:val="26"/>
          <w:lang w:val="en-GB"/>
        </w:rPr>
        <w:t>Just to be clear, I said total reserves not presently available for Ukraine, as a percentage of the total for the whole country.</w:t>
      </w:r>
      <w:r w:rsidR="00E240D5" w:rsidRPr="003F63A1">
        <w:rPr>
          <w:sz w:val="26"/>
          <w:szCs w:val="26"/>
          <w:lang w:val="en-GB"/>
        </w:rPr>
        <w:t>”</w:t>
      </w:r>
    </w:p>
    <w:p w14:paraId="1E8BE70D" w14:textId="758C7A11" w:rsidR="00120F54" w:rsidRPr="003F63A1" w:rsidRDefault="00120F54" w:rsidP="00120F54">
      <w:pPr>
        <w:pStyle w:val="a3"/>
        <w:numPr>
          <w:ilvl w:val="0"/>
          <w:numId w:val="19"/>
        </w:numPr>
        <w:spacing w:after="120" w:line="360" w:lineRule="auto"/>
        <w:rPr>
          <w:lang w:val="en-GB"/>
        </w:rPr>
      </w:pPr>
      <w:r w:rsidRPr="7A7A869F">
        <w:rPr>
          <w:lang w:val="en-GB"/>
        </w:rPr>
        <w:t>As submitted at the hearings,</w:t>
      </w:r>
      <w:r w:rsidRPr="7A7A869F">
        <w:rPr>
          <w:rStyle w:val="af6"/>
          <w:lang w:val="en-GB"/>
        </w:rPr>
        <w:footnoteReference w:id="98"/>
      </w:r>
      <w:r w:rsidRPr="7A7A869F">
        <w:rPr>
          <w:lang w:val="en-GB"/>
        </w:rPr>
        <w:t xml:space="preserve"> in 2019, t</w:t>
      </w:r>
      <w:r w:rsidR="0006262E" w:rsidRPr="7A7A869F">
        <w:rPr>
          <w:lang w:val="en-GB"/>
        </w:rPr>
        <w:t xml:space="preserve">he total area </w:t>
      </w:r>
      <w:r w:rsidR="00E33805" w:rsidRPr="7A7A869F">
        <w:rPr>
          <w:lang w:val="en-GB"/>
        </w:rPr>
        <w:t xml:space="preserve">of forest lands </w:t>
      </w:r>
      <w:r w:rsidR="0006262E" w:rsidRPr="7A7A869F">
        <w:rPr>
          <w:lang w:val="en-GB"/>
        </w:rPr>
        <w:t xml:space="preserve">in Ukraine constituted 10.4 million </w:t>
      </w:r>
      <w:r w:rsidR="007121E1" w:rsidRPr="7A7A869F">
        <w:rPr>
          <w:lang w:val="en-GB"/>
        </w:rPr>
        <w:t>hectares</w:t>
      </w:r>
      <w:r w:rsidR="0006262E" w:rsidRPr="7A7A869F">
        <w:rPr>
          <w:lang w:val="en-GB"/>
        </w:rPr>
        <w:t xml:space="preserve">, of which 9.6 million </w:t>
      </w:r>
      <w:r w:rsidR="007121E1" w:rsidRPr="7A7A869F">
        <w:rPr>
          <w:lang w:val="en-GB"/>
        </w:rPr>
        <w:t>hectares</w:t>
      </w:r>
      <w:r w:rsidR="0006262E" w:rsidRPr="7A7A869F">
        <w:rPr>
          <w:lang w:val="en-GB"/>
        </w:rPr>
        <w:t xml:space="preserve"> were covered by forests</w:t>
      </w:r>
      <w:r w:rsidR="004648C0" w:rsidRPr="7A7A869F">
        <w:rPr>
          <w:lang w:val="en-GB"/>
        </w:rPr>
        <w:t>,</w:t>
      </w:r>
      <w:r w:rsidRPr="7A7A869F">
        <w:rPr>
          <w:rFonts w:eastAsiaTheme="minorEastAsia"/>
          <w:lang w:val="en-GB" w:eastAsia="en-US"/>
        </w:rPr>
        <w:t xml:space="preserve"> </w:t>
      </w:r>
      <w:r w:rsidRPr="7A7A869F">
        <w:rPr>
          <w:lang w:val="en-GB"/>
        </w:rPr>
        <w:t>i.e. the Ukrainian woodland was 15.9 % of the total area of Ukraine’s territory.</w:t>
      </w:r>
      <w:r w:rsidRPr="7A7A869F">
        <w:rPr>
          <w:vertAlign w:val="superscript"/>
          <w:lang w:val="en-GB"/>
        </w:rPr>
        <w:footnoteReference w:id="99"/>
      </w:r>
    </w:p>
    <w:p w14:paraId="13575FC5" w14:textId="7AE1C17F" w:rsidR="00E12EBA" w:rsidRPr="003F63A1" w:rsidRDefault="005B7781" w:rsidP="008713FA">
      <w:pPr>
        <w:pStyle w:val="a3"/>
        <w:numPr>
          <w:ilvl w:val="0"/>
          <w:numId w:val="19"/>
        </w:numPr>
        <w:spacing w:after="120" w:line="360" w:lineRule="auto"/>
        <w:rPr>
          <w:lang w:val="en-GB"/>
        </w:rPr>
      </w:pPr>
      <w:r w:rsidRPr="7A7A869F">
        <w:rPr>
          <w:lang w:val="en-GB"/>
        </w:rPr>
        <w:t xml:space="preserve">Since 2014, Ukraine has been facing the situation of emergency in international relations and has lost control over </w:t>
      </w:r>
      <w:r w:rsidR="00E33805" w:rsidRPr="7A7A869F">
        <w:rPr>
          <w:lang w:val="en-GB"/>
        </w:rPr>
        <w:t xml:space="preserve">certain parts of its territories. According to the </w:t>
      </w:r>
      <w:r w:rsidR="002E7FE3" w:rsidRPr="7A7A869F">
        <w:rPr>
          <w:lang w:val="en-GB"/>
        </w:rPr>
        <w:t xml:space="preserve">information provided by the </w:t>
      </w:r>
      <w:r w:rsidR="00E33805" w:rsidRPr="7A7A869F">
        <w:rPr>
          <w:lang w:val="en-GB"/>
        </w:rPr>
        <w:t>State Forest Recourses Agency of Ukraine, the total area of forest lands</w:t>
      </w:r>
      <w:r w:rsidR="00CC3533" w:rsidRPr="7A7A869F">
        <w:rPr>
          <w:rStyle w:val="af6"/>
          <w:lang w:val="en-GB"/>
        </w:rPr>
        <w:footnoteReference w:id="100"/>
      </w:r>
      <w:r w:rsidR="00E33805" w:rsidRPr="7A7A869F">
        <w:rPr>
          <w:lang w:val="en-GB"/>
        </w:rPr>
        <w:t xml:space="preserve"> </w:t>
      </w:r>
      <w:r w:rsidR="00CC3533" w:rsidRPr="7A7A869F">
        <w:rPr>
          <w:lang w:val="en-GB"/>
        </w:rPr>
        <w:t>being under the management of this authority</w:t>
      </w:r>
      <w:r w:rsidR="00452DCE" w:rsidRPr="7A7A869F">
        <w:rPr>
          <w:lang w:val="en-GB"/>
        </w:rPr>
        <w:t>,</w:t>
      </w:r>
      <w:r w:rsidR="00CC3533" w:rsidRPr="7A7A869F">
        <w:rPr>
          <w:lang w:val="en-GB"/>
        </w:rPr>
        <w:t xml:space="preserve"> </w:t>
      </w:r>
      <w:r w:rsidR="00452DCE" w:rsidRPr="7A7A869F">
        <w:rPr>
          <w:lang w:val="en-GB"/>
        </w:rPr>
        <w:t xml:space="preserve">which </w:t>
      </w:r>
      <w:r w:rsidR="00CC3533" w:rsidRPr="7A7A869F">
        <w:rPr>
          <w:lang w:val="en-GB"/>
        </w:rPr>
        <w:t xml:space="preserve">are </w:t>
      </w:r>
      <w:r w:rsidR="006F7F8B" w:rsidRPr="7A7A869F">
        <w:rPr>
          <w:lang w:val="en-GB"/>
        </w:rPr>
        <w:lastRenderedPageBreak/>
        <w:t xml:space="preserve">located on the temporarily occupied territory of the Autonomous Republic of Crimea, the city of Sevastopol and </w:t>
      </w:r>
      <w:r w:rsidR="008372FC" w:rsidRPr="7A7A869F">
        <w:rPr>
          <w:lang w:val="en-GB"/>
        </w:rPr>
        <w:t xml:space="preserve">certain areas of </w:t>
      </w:r>
      <w:r w:rsidR="006F7F8B" w:rsidRPr="7A7A869F">
        <w:rPr>
          <w:lang w:val="en-GB"/>
        </w:rPr>
        <w:t>the Donetsk and Luhansk regions</w:t>
      </w:r>
      <w:r w:rsidR="00452DCE" w:rsidRPr="7A7A869F">
        <w:rPr>
          <w:lang w:val="en-GB"/>
        </w:rPr>
        <w:t>,</w:t>
      </w:r>
      <w:r w:rsidR="006F7F8B" w:rsidRPr="7A7A869F">
        <w:rPr>
          <w:lang w:val="en-GB"/>
        </w:rPr>
        <w:t xml:space="preserve"> </w:t>
      </w:r>
      <w:r w:rsidR="00CC3533" w:rsidRPr="7A7A869F">
        <w:rPr>
          <w:lang w:val="en-GB"/>
        </w:rPr>
        <w:t>amounts to 448,537.1 hectares</w:t>
      </w:r>
      <w:r w:rsidR="00452DCE" w:rsidRPr="7A7A869F">
        <w:rPr>
          <w:lang w:val="en-GB"/>
        </w:rPr>
        <w:t xml:space="preserve"> or </w:t>
      </w:r>
      <w:r w:rsidR="00D04480" w:rsidRPr="7A7A869F">
        <w:rPr>
          <w:lang w:val="en-GB"/>
        </w:rPr>
        <w:t xml:space="preserve">in round figures to </w:t>
      </w:r>
      <w:r w:rsidR="00452DCE" w:rsidRPr="7A7A869F">
        <w:rPr>
          <w:lang w:val="en-GB"/>
        </w:rPr>
        <w:t>0.45</w:t>
      </w:r>
      <w:r w:rsidR="004C78AA" w:rsidRPr="7A7A869F">
        <w:rPr>
          <w:lang w:val="en-US"/>
        </w:rPr>
        <w:t xml:space="preserve"> </w:t>
      </w:r>
      <w:r w:rsidR="006F7F8B" w:rsidRPr="7A7A869F">
        <w:rPr>
          <w:lang w:val="en-GB"/>
        </w:rPr>
        <w:t xml:space="preserve">million </w:t>
      </w:r>
      <w:r w:rsidR="007121E1" w:rsidRPr="7A7A869F">
        <w:rPr>
          <w:lang w:val="en-GB"/>
        </w:rPr>
        <w:t>hectares</w:t>
      </w:r>
      <w:r w:rsidR="006F7F8B" w:rsidRPr="7A7A869F">
        <w:rPr>
          <w:lang w:val="en-GB"/>
        </w:rPr>
        <w:t xml:space="preserve">. This means that Ukraine has lost control </w:t>
      </w:r>
      <w:r w:rsidR="00D04480" w:rsidRPr="7A7A869F">
        <w:rPr>
          <w:lang w:val="en-GB"/>
        </w:rPr>
        <w:t xml:space="preserve">over </w:t>
      </w:r>
      <w:r w:rsidR="00277CE9" w:rsidRPr="7A7A869F">
        <w:rPr>
          <w:lang w:val="en-GB"/>
        </w:rPr>
        <w:t xml:space="preserve">at least </w:t>
      </w:r>
      <w:r w:rsidR="00962E4C" w:rsidRPr="7A7A869F">
        <w:rPr>
          <w:lang w:val="en-GB"/>
        </w:rPr>
        <w:t xml:space="preserve">4.32% </w:t>
      </w:r>
      <w:r w:rsidR="006F7F8B" w:rsidRPr="7A7A869F">
        <w:rPr>
          <w:lang w:val="en-GB"/>
        </w:rPr>
        <w:t xml:space="preserve">of its </w:t>
      </w:r>
      <w:r w:rsidR="00962E4C" w:rsidRPr="7A7A869F">
        <w:rPr>
          <w:lang w:val="en-GB"/>
        </w:rPr>
        <w:t>forest lands</w:t>
      </w:r>
      <w:r w:rsidR="00CD2BB0" w:rsidRPr="7A7A869F">
        <w:rPr>
          <w:rStyle w:val="af6"/>
          <w:lang w:val="en-GB"/>
        </w:rPr>
        <w:footnoteReference w:id="101"/>
      </w:r>
      <w:r w:rsidR="00962E4C" w:rsidRPr="7A7A869F">
        <w:rPr>
          <w:lang w:val="en-GB"/>
        </w:rPr>
        <w:t xml:space="preserve"> </w:t>
      </w:r>
      <w:r w:rsidR="00094B9E" w:rsidRPr="7A7A869F">
        <w:rPr>
          <w:lang w:val="en-GB"/>
        </w:rPr>
        <w:t xml:space="preserve">of the total area of </w:t>
      </w:r>
      <w:r w:rsidR="00962E4C" w:rsidRPr="7A7A869F">
        <w:rPr>
          <w:lang w:val="en-GB"/>
        </w:rPr>
        <w:t xml:space="preserve">forest lands in Ukraine (i.e. 10.4 million </w:t>
      </w:r>
      <w:r w:rsidR="007121E1" w:rsidRPr="7A7A869F">
        <w:rPr>
          <w:lang w:val="en-GB"/>
        </w:rPr>
        <w:t>hectares</w:t>
      </w:r>
      <w:r w:rsidR="00962E4C" w:rsidRPr="7A7A869F">
        <w:rPr>
          <w:lang w:val="en-GB"/>
        </w:rPr>
        <w:t>)</w:t>
      </w:r>
      <w:r w:rsidR="00094B9E" w:rsidRPr="7A7A869F">
        <w:rPr>
          <w:lang w:val="en-GB"/>
        </w:rPr>
        <w:t>.</w:t>
      </w:r>
      <w:r w:rsidR="00E12EBA" w:rsidRPr="7A7A869F">
        <w:rPr>
          <w:lang w:val="en-GB"/>
        </w:rPr>
        <w:t xml:space="preserve"> </w:t>
      </w:r>
    </w:p>
    <w:p w14:paraId="19149D7E" w14:textId="4D2AA35B" w:rsidR="00267BFC" w:rsidRPr="003F63A1" w:rsidRDefault="00267BFC" w:rsidP="008713FA">
      <w:pPr>
        <w:pStyle w:val="a3"/>
        <w:numPr>
          <w:ilvl w:val="0"/>
          <w:numId w:val="19"/>
        </w:numPr>
        <w:spacing w:after="120" w:line="360" w:lineRule="auto"/>
        <w:rPr>
          <w:lang w:val="en-GB"/>
        </w:rPr>
      </w:pPr>
      <w:r w:rsidRPr="7A7A869F">
        <w:rPr>
          <w:lang w:val="en-GB"/>
        </w:rPr>
        <w:t xml:space="preserve">As regards the “commercial” forests, Ukraine </w:t>
      </w:r>
      <w:r w:rsidR="00094B9E" w:rsidRPr="7A7A869F">
        <w:rPr>
          <w:lang w:val="en-GB"/>
        </w:rPr>
        <w:t xml:space="preserve">reiterates </w:t>
      </w:r>
      <w:r w:rsidRPr="7A7A869F">
        <w:rPr>
          <w:lang w:val="en-GB"/>
        </w:rPr>
        <w:t xml:space="preserve">that although </w:t>
      </w:r>
      <w:r w:rsidRPr="7A7A869F">
        <w:rPr>
          <w:bdr w:val="none" w:sz="0" w:space="0" w:color="auto" w:frame="1"/>
          <w:lang w:val="en-US"/>
          <w14:textOutline w14:w="0" w14:cap="flat" w14:cmpd="sng" w14:algn="ctr">
            <w14:noFill/>
            <w14:prstDash w14:val="solid"/>
            <w14:bevel/>
          </w14:textOutline>
        </w:rPr>
        <w:t xml:space="preserve">Ukrainian forests are divided into four categories depending on </w:t>
      </w:r>
      <w:r w:rsidRPr="7A7A869F">
        <w:rPr>
          <w:bdr w:val="none" w:sz="0" w:space="0" w:color="auto" w:frame="1"/>
          <w:lang w:val="en-GB"/>
          <w14:textOutline w14:w="0" w14:cap="flat" w14:cmpd="sng" w14:algn="ctr">
            <w14:noFill/>
            <w14:prstDash w14:val="solid"/>
            <w14:bevel/>
          </w14:textOutline>
        </w:rPr>
        <w:t xml:space="preserve">their </w:t>
      </w:r>
      <w:r w:rsidRPr="7A7A869F">
        <w:rPr>
          <w:bdr w:val="none" w:sz="0" w:space="0" w:color="auto" w:frame="1"/>
          <w:lang w:val="en-US"/>
          <w14:textOutline w14:w="0" w14:cap="flat" w14:cmpd="sng" w14:algn="ctr">
            <w14:noFill/>
            <w14:prstDash w14:val="solid"/>
            <w14:bevel/>
          </w14:textOutline>
        </w:rPr>
        <w:t>main performed functions,</w:t>
      </w:r>
      <w:r w:rsidRPr="7A7A869F">
        <w:rPr>
          <w:rStyle w:val="af6"/>
          <w:bdr w:val="none" w:sz="0" w:space="0" w:color="auto" w:frame="1"/>
          <w:lang w:val="en-US"/>
          <w14:textOutline w14:w="0" w14:cap="flat" w14:cmpd="sng" w14:algn="ctr">
            <w14:noFill/>
            <w14:prstDash w14:val="solid"/>
            <w14:bevel/>
          </w14:textOutline>
        </w:rPr>
        <w:footnoteReference w:id="102"/>
      </w:r>
      <w:r w:rsidRPr="7A7A869F">
        <w:rPr>
          <w:bdr w:val="none" w:sz="0" w:space="0" w:color="auto" w:frame="1"/>
          <w:lang w:val="en-US"/>
          <w14:textOutline w14:w="0" w14:cap="flat" w14:cmpd="sng" w14:algn="ctr">
            <w14:noFill/>
            <w14:prstDash w14:val="solid"/>
            <w14:bevel/>
          </w14:textOutline>
        </w:rPr>
        <w:t xml:space="preserve"> </w:t>
      </w:r>
      <w:r w:rsidR="00A971F1" w:rsidRPr="7A7A869F">
        <w:rPr>
          <w:bdr w:val="none" w:sz="0" w:space="0" w:color="auto" w:frame="1"/>
          <w:lang w:val="en-US"/>
          <w14:textOutline w14:w="0" w14:cap="flat" w14:cmpd="sng" w14:algn="ctr">
            <w14:noFill/>
            <w14:prstDash w14:val="solid"/>
            <w14:bevel/>
          </w14:textOutline>
        </w:rPr>
        <w:t xml:space="preserve">one of which </w:t>
      </w:r>
      <w:r w:rsidR="00422380" w:rsidRPr="7A7A869F">
        <w:rPr>
          <w:bdr w:val="none" w:sz="0" w:space="0" w:color="auto" w:frame="1"/>
          <w:lang w:val="en-US"/>
          <w14:textOutline w14:w="0" w14:cap="flat" w14:cmpd="sng" w14:algn="ctr">
            <w14:noFill/>
            <w14:prstDash w14:val="solid"/>
            <w14:bevel/>
          </w14:textOutline>
        </w:rPr>
        <w:t xml:space="preserve">is a category of </w:t>
      </w:r>
      <w:r w:rsidR="00A971F1" w:rsidRPr="7A7A869F">
        <w:rPr>
          <w:bdr w:val="none" w:sz="0" w:space="0" w:color="auto" w:frame="1"/>
          <w:lang w:val="en-US"/>
          <w14:textOutline w14:w="0" w14:cap="flat" w14:cmpd="sng" w14:algn="ctr">
            <w14:noFill/>
            <w14:prstDash w14:val="solid"/>
            <w14:bevel/>
          </w14:textOutline>
        </w:rPr>
        <w:t xml:space="preserve">commercial forests, </w:t>
      </w:r>
      <w:r w:rsidR="00897CE5" w:rsidRPr="7A7A869F">
        <w:rPr>
          <w:bdr w:val="none" w:sz="0" w:space="0" w:color="auto" w:frame="1"/>
          <w:lang w:val="en-US"/>
          <w14:textOutline w14:w="0" w14:cap="flat" w14:cmpd="sng" w14:algn="ctr">
            <w14:noFill/>
            <w14:prstDash w14:val="solid"/>
            <w14:bevel/>
          </w14:textOutline>
        </w:rPr>
        <w:t xml:space="preserve">all </w:t>
      </w:r>
      <w:r w:rsidR="00422380" w:rsidRPr="7A7A869F">
        <w:rPr>
          <w:bdr w:val="none" w:sz="0" w:space="0" w:color="auto" w:frame="1"/>
          <w:lang w:val="en-US"/>
          <w14:textOutline w14:w="0" w14:cap="flat" w14:cmpd="sng" w14:algn="ctr">
            <w14:noFill/>
            <w14:prstDash w14:val="solid"/>
            <w14:bevel/>
          </w14:textOutline>
        </w:rPr>
        <w:t>timber legally harvested in any category of forests (e.g. by way of sanitary felling in the</w:t>
      </w:r>
      <w:r w:rsidR="00897CE5" w:rsidRPr="7A7A869F">
        <w:rPr>
          <w:lang w:val="en-US"/>
        </w:rPr>
        <w:t xml:space="preserve"> forests of the natural reserve fund of Ukraine</w:t>
      </w:r>
      <w:r w:rsidR="00422380" w:rsidRPr="7A7A869F">
        <w:rPr>
          <w:bdr w:val="none" w:sz="0" w:space="0" w:color="auto" w:frame="1"/>
          <w:lang w:val="en-US"/>
          <w14:textOutline w14:w="0" w14:cap="flat" w14:cmpd="sng" w14:algn="ctr">
            <w14:noFill/>
            <w14:prstDash w14:val="solid"/>
            <w14:bevel/>
          </w14:textOutline>
        </w:rPr>
        <w:t>)</w:t>
      </w:r>
      <w:r w:rsidR="00897CE5" w:rsidRPr="7A7A869F">
        <w:rPr>
          <w:bdr w:val="none" w:sz="0" w:space="0" w:color="auto" w:frame="1"/>
          <w:lang w:val="en-US"/>
          <w14:textOutline w14:w="0" w14:cap="flat" w14:cmpd="sng" w14:algn="ctr">
            <w14:noFill/>
            <w14:prstDash w14:val="solid"/>
            <w14:bevel/>
          </w14:textOutline>
        </w:rPr>
        <w:t xml:space="preserve"> becomes available for commercial use and is subject to taxation.</w:t>
      </w:r>
      <w:r w:rsidR="00897CE5" w:rsidRPr="7A7A869F">
        <w:rPr>
          <w:rStyle w:val="af6"/>
          <w:bdr w:val="none" w:sz="0" w:space="0" w:color="auto" w:frame="1"/>
          <w:lang w:val="en-US"/>
          <w14:textOutline w14:w="0" w14:cap="flat" w14:cmpd="sng" w14:algn="ctr">
            <w14:noFill/>
            <w14:prstDash w14:val="solid"/>
            <w14:bevel/>
          </w14:textOutline>
        </w:rPr>
        <w:footnoteReference w:id="103"/>
      </w:r>
    </w:p>
    <w:p w14:paraId="2A5C0946" w14:textId="4EF723C3" w:rsidR="00F10090" w:rsidRPr="003F63A1" w:rsidRDefault="00F10090" w:rsidP="004A751B">
      <w:pPr>
        <w:pStyle w:val="2"/>
        <w:rPr>
          <w:rFonts w:cs="Times New Roman"/>
          <w:lang w:val="en-GB"/>
        </w:rPr>
      </w:pPr>
      <w:bookmarkStart w:id="82" w:name="_Toc52886595"/>
      <w:bookmarkStart w:id="83" w:name="_Toc52896900"/>
      <w:r w:rsidRPr="003F63A1">
        <w:rPr>
          <w:rFonts w:cs="Times New Roman"/>
          <w:lang w:val="en-GB"/>
        </w:rPr>
        <w:t>Question 18</w:t>
      </w:r>
      <w:bookmarkEnd w:id="82"/>
      <w:bookmarkEnd w:id="83"/>
    </w:p>
    <w:p w14:paraId="38CB887D" w14:textId="03C854EF" w:rsidR="00F10090" w:rsidRPr="003F63A1" w:rsidRDefault="00F10090" w:rsidP="00F10090">
      <w:pPr>
        <w:spacing w:after="120"/>
        <w:jc w:val="both"/>
        <w:rPr>
          <w:sz w:val="26"/>
          <w:szCs w:val="26"/>
          <w:lang w:val="en-GB"/>
        </w:rPr>
      </w:pPr>
      <w:r w:rsidRPr="003F63A1">
        <w:rPr>
          <w:rStyle w:val="st"/>
          <w:b/>
          <w:bCs/>
          <w:sz w:val="26"/>
          <w:szCs w:val="26"/>
          <w:lang w:val="en-GB"/>
        </w:rPr>
        <w:t>MS Ilaria ESPA</w:t>
      </w:r>
      <w:r w:rsidRPr="003F63A1">
        <w:rPr>
          <w:rStyle w:val="st"/>
          <w:sz w:val="26"/>
          <w:szCs w:val="26"/>
          <w:lang w:val="en-GB"/>
        </w:rPr>
        <w:t xml:space="preserve">: </w:t>
      </w:r>
      <w:r w:rsidRPr="003F63A1">
        <w:rPr>
          <w:sz w:val="26"/>
          <w:szCs w:val="26"/>
          <w:lang w:val="en-GB"/>
        </w:rPr>
        <w:t xml:space="preserve">“I have two questions. So,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has already acknowledged at paragraphs 185 and 187 of its oral statement this morning that Ukraine may seek to, and I quote paragraph 185, “rely on any of the provisions of Chapter 13 as a </w:t>
      </w:r>
      <w:r w:rsidR="002973A7" w:rsidRPr="003F63A1">
        <w:rPr>
          <w:sz w:val="26"/>
          <w:szCs w:val="26"/>
          <w:lang w:val="en-GB"/>
        </w:rPr>
        <w:t>defence</w:t>
      </w:r>
      <w:r w:rsidRPr="003F63A1">
        <w:rPr>
          <w:sz w:val="26"/>
          <w:szCs w:val="26"/>
          <w:lang w:val="en-GB"/>
        </w:rPr>
        <w:t>, either on its own or in conjunction with the exceptions cited in Article 36 of the Association Agreement”. It only raised questions related to the burden of proof in respect to this scenario</w:t>
      </w:r>
      <w:r w:rsidR="00FE0FB9" w:rsidRPr="003F63A1">
        <w:rPr>
          <w:sz w:val="26"/>
          <w:szCs w:val="26"/>
          <w:lang w:val="en-GB"/>
        </w:rPr>
        <w:t>,</w:t>
      </w:r>
      <w:r w:rsidRPr="003F63A1">
        <w:rPr>
          <w:sz w:val="26"/>
          <w:szCs w:val="26"/>
          <w:lang w:val="en-GB"/>
        </w:rPr>
        <w:t xml:space="preserve"> and it did not envisage jurisdictional issues may come out of Ukraine</w:t>
      </w:r>
      <w:r w:rsidR="003F63A1" w:rsidRPr="003F63A1">
        <w:rPr>
          <w:sz w:val="26"/>
          <w:szCs w:val="26"/>
          <w:lang w:val="en-GB"/>
        </w:rPr>
        <w:t>’</w:t>
      </w:r>
      <w:r w:rsidRPr="003F63A1">
        <w:rPr>
          <w:sz w:val="26"/>
          <w:szCs w:val="26"/>
          <w:lang w:val="en-GB"/>
        </w:rPr>
        <w:t xml:space="preserve">s choice to rely on Chapter 13 on its own. This seems to follow from </w:t>
      </w:r>
      <w:r w:rsidR="004C5332">
        <w:rPr>
          <w:sz w:val="26"/>
          <w:szCs w:val="26"/>
          <w:lang w:val="en-GB"/>
        </w:rPr>
        <w:t>[</w:t>
      </w:r>
      <w:r w:rsidR="003F63A1" w:rsidRPr="003F63A1">
        <w:rPr>
          <w:sz w:val="26"/>
          <w:szCs w:val="26"/>
          <w:lang w:val="en-GB"/>
        </w:rPr>
        <w:t>European Union</w:t>
      </w:r>
      <w:r w:rsidR="004C5332">
        <w:rPr>
          <w:sz w:val="26"/>
          <w:szCs w:val="26"/>
          <w:lang w:val="en-GB"/>
        </w:rPr>
        <w:t>]</w:t>
      </w:r>
      <w:r w:rsidR="003F63A1" w:rsidRPr="003F63A1">
        <w:rPr>
          <w:sz w:val="26"/>
          <w:szCs w:val="26"/>
          <w:lang w:val="en-GB"/>
        </w:rPr>
        <w:t>’</w:t>
      </w:r>
      <w:r w:rsidRPr="003F63A1">
        <w:rPr>
          <w:sz w:val="26"/>
          <w:szCs w:val="26"/>
          <w:lang w:val="en-GB"/>
        </w:rPr>
        <w:t xml:space="preserve">s assertion in paragraph 196 of its oral statement that “the right to regulate recognized in </w:t>
      </w:r>
      <w:r w:rsidR="00CA1A10" w:rsidRPr="003F63A1">
        <w:rPr>
          <w:sz w:val="26"/>
          <w:szCs w:val="26"/>
          <w:lang w:val="en-GB"/>
        </w:rPr>
        <w:t xml:space="preserve">Article </w:t>
      </w:r>
      <w:r w:rsidRPr="003F63A1">
        <w:rPr>
          <w:sz w:val="26"/>
          <w:szCs w:val="26"/>
          <w:lang w:val="en-GB"/>
        </w:rPr>
        <w:t xml:space="preserve">290 p. 1 of the Association Agreement must be exercised in accordance with the requirements of other provisions of the Association Agreement that give expression and operationalized the right to regulate, including the policy exceptions mentioned in Article 36 of the Association Agreement. So, how does this </w:t>
      </w:r>
      <w:r w:rsidR="003F63A1" w:rsidRPr="003F63A1">
        <w:rPr>
          <w:sz w:val="26"/>
          <w:szCs w:val="26"/>
          <w:lang w:val="en-GB"/>
        </w:rPr>
        <w:t>European Union</w:t>
      </w:r>
      <w:r w:rsidRPr="003F63A1">
        <w:rPr>
          <w:sz w:val="26"/>
          <w:szCs w:val="26"/>
          <w:lang w:val="en-GB"/>
        </w:rPr>
        <w:t xml:space="preserve"> assertion stand with respect to Ukraine</w:t>
      </w:r>
      <w:r w:rsidR="003F63A1" w:rsidRPr="003F63A1">
        <w:rPr>
          <w:sz w:val="26"/>
          <w:szCs w:val="26"/>
          <w:lang w:val="en-GB"/>
        </w:rPr>
        <w:t>’</w:t>
      </w:r>
      <w:r w:rsidRPr="003F63A1">
        <w:rPr>
          <w:sz w:val="26"/>
          <w:szCs w:val="26"/>
          <w:lang w:val="en-GB"/>
        </w:rPr>
        <w:t xml:space="preserve">s intention today in its oral statement that </w:t>
      </w:r>
      <w:r w:rsidR="00CA1A10" w:rsidRPr="003F63A1">
        <w:rPr>
          <w:sz w:val="26"/>
          <w:szCs w:val="26"/>
          <w:lang w:val="en-GB"/>
        </w:rPr>
        <w:t xml:space="preserve">Article </w:t>
      </w:r>
      <w:r w:rsidRPr="003F63A1">
        <w:rPr>
          <w:sz w:val="26"/>
          <w:szCs w:val="26"/>
          <w:lang w:val="en-GB"/>
        </w:rPr>
        <w:t xml:space="preserve">290 p. 1 is itself an exception to </w:t>
      </w:r>
      <w:r w:rsidR="00CA1A10" w:rsidRPr="003F63A1">
        <w:rPr>
          <w:sz w:val="26"/>
          <w:szCs w:val="26"/>
          <w:lang w:val="en-GB"/>
        </w:rPr>
        <w:t xml:space="preserve">Article </w:t>
      </w:r>
      <w:r w:rsidRPr="003F63A1">
        <w:rPr>
          <w:sz w:val="26"/>
          <w:szCs w:val="26"/>
          <w:lang w:val="en-GB"/>
        </w:rPr>
        <w:t xml:space="preserve">35 of the Association Agreement, so that the measures at issue consist of a mere exercise of its right to regulate at some level of the environmental protection, in other words, is the </w:t>
      </w:r>
      <w:r w:rsidR="003F63A1" w:rsidRPr="003F63A1">
        <w:rPr>
          <w:sz w:val="26"/>
          <w:szCs w:val="26"/>
          <w:lang w:val="en-GB"/>
        </w:rPr>
        <w:t>European Union</w:t>
      </w:r>
      <w:r w:rsidRPr="003F63A1">
        <w:rPr>
          <w:sz w:val="26"/>
          <w:szCs w:val="26"/>
          <w:lang w:val="en-GB"/>
        </w:rPr>
        <w:t xml:space="preserve"> implying that Ukraine could not be relying on </w:t>
      </w:r>
      <w:r w:rsidR="00CA1A10" w:rsidRPr="003F63A1">
        <w:rPr>
          <w:sz w:val="26"/>
          <w:szCs w:val="26"/>
          <w:lang w:val="en-GB"/>
        </w:rPr>
        <w:t xml:space="preserve">Article </w:t>
      </w:r>
      <w:r w:rsidRPr="003F63A1">
        <w:rPr>
          <w:sz w:val="26"/>
          <w:szCs w:val="26"/>
          <w:lang w:val="en-GB"/>
        </w:rPr>
        <w:t xml:space="preserve">290 p. 1 </w:t>
      </w:r>
      <w:r w:rsidR="00D43038" w:rsidRPr="003F63A1">
        <w:rPr>
          <w:sz w:val="26"/>
          <w:szCs w:val="26"/>
          <w:lang w:val="en-GB"/>
        </w:rPr>
        <w:t>defence</w:t>
      </w:r>
      <w:r w:rsidRPr="003F63A1">
        <w:rPr>
          <w:sz w:val="26"/>
          <w:szCs w:val="26"/>
          <w:lang w:val="en-GB"/>
        </w:rPr>
        <w:t xml:space="preserve"> on its own and has this cannot be a</w:t>
      </w:r>
      <w:r w:rsidR="00CA1A10" w:rsidRPr="003F63A1">
        <w:rPr>
          <w:sz w:val="26"/>
          <w:szCs w:val="26"/>
          <w:lang w:val="en-GB"/>
        </w:rPr>
        <w:t xml:space="preserve"> Chapter </w:t>
      </w:r>
      <w:r w:rsidRPr="003F63A1">
        <w:rPr>
          <w:sz w:val="26"/>
          <w:szCs w:val="26"/>
          <w:lang w:val="en-GB"/>
        </w:rPr>
        <w:t>13 only claim.”</w:t>
      </w:r>
    </w:p>
    <w:p w14:paraId="733FF022" w14:textId="376EF8F1" w:rsidR="00F10090" w:rsidRPr="003F63A1" w:rsidRDefault="00CA1A10" w:rsidP="00F10090">
      <w:pPr>
        <w:pStyle w:val="a3"/>
        <w:numPr>
          <w:ilvl w:val="0"/>
          <w:numId w:val="19"/>
        </w:numPr>
        <w:spacing w:after="120" w:line="360" w:lineRule="auto"/>
        <w:rPr>
          <w:lang w:val="en-GB"/>
        </w:rPr>
      </w:pPr>
      <w:r w:rsidRPr="7A7A869F">
        <w:rPr>
          <w:lang w:val="en-GB"/>
        </w:rPr>
        <w:t xml:space="preserve">A question for the </w:t>
      </w:r>
      <w:r w:rsidR="003F63A1" w:rsidRPr="7A7A869F">
        <w:rPr>
          <w:lang w:val="en-GB"/>
        </w:rPr>
        <w:t>European Union</w:t>
      </w:r>
      <w:r w:rsidRPr="7A7A869F">
        <w:rPr>
          <w:lang w:val="en-GB"/>
        </w:rPr>
        <w:t>.</w:t>
      </w:r>
    </w:p>
    <w:p w14:paraId="1BF735E1" w14:textId="3750FE28" w:rsidR="00CA1A10" w:rsidRPr="003F63A1" w:rsidRDefault="00CA1A10" w:rsidP="007121E1">
      <w:pPr>
        <w:pStyle w:val="2"/>
        <w:jc w:val="both"/>
        <w:rPr>
          <w:rFonts w:cs="Times New Roman"/>
          <w:lang w:val="en-GB"/>
        </w:rPr>
      </w:pPr>
      <w:bookmarkStart w:id="84" w:name="_Toc52886596"/>
      <w:bookmarkStart w:id="85" w:name="_Toc52896901"/>
      <w:r w:rsidRPr="003F63A1">
        <w:rPr>
          <w:rFonts w:cs="Times New Roman"/>
          <w:lang w:val="en-GB"/>
        </w:rPr>
        <w:lastRenderedPageBreak/>
        <w:t>Question 19</w:t>
      </w:r>
      <w:r w:rsidR="00D2454E" w:rsidRPr="003F63A1">
        <w:rPr>
          <w:rFonts w:cs="Times New Roman"/>
          <w:lang w:val="en-GB"/>
        </w:rPr>
        <w:t xml:space="preserve"> - Connection between Articles 35 and 290 of the </w:t>
      </w:r>
      <w:r w:rsidR="00976211" w:rsidRPr="003F63A1">
        <w:rPr>
          <w:rFonts w:cs="Times New Roman"/>
          <w:lang w:val="en-GB"/>
        </w:rPr>
        <w:t>Association Agreement</w:t>
      </w:r>
      <w:bookmarkEnd w:id="84"/>
      <w:bookmarkEnd w:id="85"/>
    </w:p>
    <w:p w14:paraId="75DAADF9" w14:textId="792F5389" w:rsidR="00CA1A10" w:rsidRPr="003F63A1" w:rsidRDefault="00CA1A10" w:rsidP="00CA1A10">
      <w:pPr>
        <w:spacing w:after="120"/>
        <w:jc w:val="both"/>
        <w:rPr>
          <w:sz w:val="26"/>
          <w:szCs w:val="26"/>
          <w:lang w:val="en-GB"/>
        </w:rPr>
      </w:pPr>
      <w:r w:rsidRPr="003F63A1">
        <w:rPr>
          <w:rStyle w:val="st"/>
          <w:b/>
          <w:bCs/>
          <w:sz w:val="26"/>
          <w:szCs w:val="26"/>
          <w:lang w:val="en-GB"/>
        </w:rPr>
        <w:t>MS Ilaria ESPA</w:t>
      </w:r>
      <w:r w:rsidRPr="003F63A1">
        <w:rPr>
          <w:rStyle w:val="st"/>
          <w:sz w:val="26"/>
          <w:szCs w:val="26"/>
          <w:lang w:val="en-GB"/>
        </w:rPr>
        <w:t xml:space="preserve">: </w:t>
      </w:r>
      <w:r w:rsidRPr="003F63A1">
        <w:rPr>
          <w:sz w:val="26"/>
          <w:szCs w:val="26"/>
          <w:lang w:val="en-GB"/>
        </w:rPr>
        <w:t>“I was wondering whether the Ukrainian delegation could elaborate on what would be</w:t>
      </w:r>
      <w:r w:rsidR="00A70AA6" w:rsidRPr="003F63A1">
        <w:rPr>
          <w:sz w:val="26"/>
          <w:szCs w:val="26"/>
          <w:lang w:val="en-GB"/>
        </w:rPr>
        <w:t xml:space="preserve"> the</w:t>
      </w:r>
      <w:r w:rsidRPr="003F63A1">
        <w:rPr>
          <w:sz w:val="26"/>
          <w:szCs w:val="26"/>
          <w:lang w:val="en-GB"/>
        </w:rPr>
        <w:t xml:space="preserve"> </w:t>
      </w:r>
      <w:r w:rsidR="00A70AA6" w:rsidRPr="003F63A1">
        <w:rPr>
          <w:i/>
          <w:iCs/>
          <w:sz w:val="26"/>
          <w:szCs w:val="26"/>
          <w:lang w:val="en-GB"/>
        </w:rPr>
        <w:t xml:space="preserve">effet utile </w:t>
      </w:r>
      <w:r w:rsidRPr="003F63A1">
        <w:rPr>
          <w:sz w:val="26"/>
          <w:szCs w:val="26"/>
          <w:lang w:val="en-GB"/>
        </w:rPr>
        <w:t xml:space="preserve">of Article 36 of the Association Agreement. Will it be able to exclusively rely on Article 290 p. 1 of the Association Agreement and whether Ukraine could also elaborate on whether affirming that Article 290 p. 1 is an exception to Article 35 of the Association Agreement directly, as Ukraine seems to be arguing in its oral statement, would not imply that there is at least a link between two chapters, that is </w:t>
      </w:r>
      <w:r w:rsidR="00EE1F5B" w:rsidRPr="003F63A1">
        <w:rPr>
          <w:sz w:val="26"/>
          <w:szCs w:val="26"/>
          <w:lang w:val="en-GB"/>
        </w:rPr>
        <w:t xml:space="preserve">Chapter </w:t>
      </w:r>
      <w:r w:rsidRPr="003F63A1">
        <w:rPr>
          <w:sz w:val="26"/>
          <w:szCs w:val="26"/>
          <w:lang w:val="en-GB"/>
        </w:rPr>
        <w:t>1, where Article 35 was included, and Chapter 13, where Article 290 is included, and how would this change Ukraine</w:t>
      </w:r>
      <w:r w:rsidR="00874777" w:rsidRPr="003F63A1">
        <w:rPr>
          <w:sz w:val="26"/>
          <w:szCs w:val="26"/>
          <w:lang w:val="en-GB"/>
        </w:rPr>
        <w:t>’</w:t>
      </w:r>
      <w:r w:rsidRPr="003F63A1">
        <w:rPr>
          <w:sz w:val="26"/>
          <w:szCs w:val="26"/>
          <w:lang w:val="en-GB"/>
        </w:rPr>
        <w:t>s interpretation, if at all, that this is merely Chapter 13 dispute, in respect to which the Panel does not have jurisdiction?”</w:t>
      </w:r>
    </w:p>
    <w:p w14:paraId="3DE43133" w14:textId="33CAA033" w:rsidR="0079369E" w:rsidRPr="003F63A1" w:rsidRDefault="0079369E" w:rsidP="008713FA">
      <w:pPr>
        <w:pStyle w:val="a3"/>
        <w:numPr>
          <w:ilvl w:val="0"/>
          <w:numId w:val="19"/>
        </w:numPr>
        <w:spacing w:after="120" w:line="360" w:lineRule="auto"/>
        <w:rPr>
          <w:lang w:val="en-GB"/>
        </w:rPr>
      </w:pPr>
      <w:r w:rsidRPr="7A7A869F">
        <w:rPr>
          <w:lang w:val="en-GB"/>
        </w:rPr>
        <w:t>This question is indeed a very interesting one, to which Ukraine will answer in two points.</w:t>
      </w:r>
    </w:p>
    <w:p w14:paraId="1AAC716D" w14:textId="7A55D22F" w:rsidR="0079369E" w:rsidRPr="003F63A1" w:rsidRDefault="0079369E" w:rsidP="008713FA">
      <w:pPr>
        <w:pStyle w:val="a3"/>
        <w:numPr>
          <w:ilvl w:val="0"/>
          <w:numId w:val="19"/>
        </w:numPr>
        <w:spacing w:after="120" w:line="360" w:lineRule="auto"/>
        <w:rPr>
          <w:lang w:val="en-GB"/>
        </w:rPr>
      </w:pPr>
      <w:r w:rsidRPr="7A7A869F">
        <w:rPr>
          <w:lang w:val="en-GB"/>
        </w:rPr>
        <w:t>First, it is correct that Ukraine contends that it is entitled to exercise its right to regulate i</w:t>
      </w:r>
      <w:r w:rsidR="00874777" w:rsidRPr="7A7A869F">
        <w:rPr>
          <w:lang w:val="en-GB"/>
        </w:rPr>
        <w:t>t</w:t>
      </w:r>
      <w:r w:rsidRPr="7A7A869F">
        <w:rPr>
          <w:lang w:val="en-GB"/>
        </w:rPr>
        <w:t>s own level of environmental protection, without having to pass the tests of the exceptions of Article XX</w:t>
      </w:r>
      <w:r w:rsidR="00A70AA6" w:rsidRPr="7A7A869F">
        <w:rPr>
          <w:lang w:val="en-GB"/>
        </w:rPr>
        <w:t xml:space="preserve"> of the GATT 1994</w:t>
      </w:r>
      <w:r w:rsidRPr="7A7A869F">
        <w:rPr>
          <w:lang w:val="en-GB"/>
        </w:rPr>
        <w:t>, referred to in Article 36</w:t>
      </w:r>
      <w:r w:rsidR="00A70AA6" w:rsidRPr="7A7A869F">
        <w:rPr>
          <w:lang w:val="en-GB"/>
        </w:rPr>
        <w:t xml:space="preserve"> of the Association Agreement</w:t>
      </w:r>
      <w:r w:rsidRPr="7A7A869F">
        <w:rPr>
          <w:lang w:val="en-GB"/>
        </w:rPr>
        <w:t>.</w:t>
      </w:r>
    </w:p>
    <w:p w14:paraId="585873CF" w14:textId="27A499EB" w:rsidR="0079369E" w:rsidRPr="003F63A1" w:rsidRDefault="0079369E" w:rsidP="008713FA">
      <w:pPr>
        <w:pStyle w:val="a3"/>
        <w:numPr>
          <w:ilvl w:val="0"/>
          <w:numId w:val="19"/>
        </w:numPr>
        <w:spacing w:after="120" w:line="360" w:lineRule="auto"/>
        <w:rPr>
          <w:lang w:val="en-GB"/>
        </w:rPr>
      </w:pPr>
      <w:r w:rsidRPr="7A7A869F">
        <w:rPr>
          <w:lang w:val="en-GB"/>
        </w:rPr>
        <w:t>Second, it is indeed the case that Ukraine argues that when Article 35</w:t>
      </w:r>
      <w:r w:rsidR="00270975" w:rsidRPr="7A7A869F">
        <w:rPr>
          <w:lang w:val="en-GB"/>
        </w:rPr>
        <w:t xml:space="preserve"> </w:t>
      </w:r>
      <w:r w:rsidR="00E32A20" w:rsidRPr="7A7A869F">
        <w:rPr>
          <w:lang w:val="en-GB"/>
        </w:rPr>
        <w:t>of the Association Agreement</w:t>
      </w:r>
      <w:r w:rsidRPr="7A7A869F">
        <w:rPr>
          <w:lang w:val="en-GB"/>
        </w:rPr>
        <w:t xml:space="preserve"> mentions “except as otherwise provided in this Agreement”, these terms, in referring to “this Agreement” as a whole, obviously encompass Chapter 13. Ukraine argues that Article 290</w:t>
      </w:r>
      <w:r w:rsidR="00E32A20" w:rsidRPr="7A7A869F">
        <w:rPr>
          <w:lang w:val="en-GB"/>
        </w:rPr>
        <w:t xml:space="preserve"> of the Association Agreement</w:t>
      </w:r>
      <w:r w:rsidRPr="7A7A869F">
        <w:rPr>
          <w:lang w:val="en-GB"/>
        </w:rPr>
        <w:t>, which is in Chapter 13, is an exception “provided in this Agreement”, to which Article 35 refers.</w:t>
      </w:r>
    </w:p>
    <w:p w14:paraId="755D54B2" w14:textId="68666AEB" w:rsidR="0079369E" w:rsidRPr="003F63A1" w:rsidRDefault="0079369E" w:rsidP="008713FA">
      <w:pPr>
        <w:pStyle w:val="a3"/>
        <w:numPr>
          <w:ilvl w:val="0"/>
          <w:numId w:val="19"/>
        </w:numPr>
        <w:spacing w:after="120" w:line="360" w:lineRule="auto"/>
        <w:rPr>
          <w:lang w:val="en-GB"/>
        </w:rPr>
      </w:pPr>
      <w:r w:rsidRPr="7A7A869F">
        <w:rPr>
          <w:lang w:val="en-GB"/>
        </w:rPr>
        <w:t>In terms of the Arbitration Panel’s jurisdiction, Ukraine understand</w:t>
      </w:r>
      <w:r w:rsidR="00410A5F" w:rsidRPr="7A7A869F">
        <w:rPr>
          <w:lang w:val="en-GB"/>
        </w:rPr>
        <w:t>s</w:t>
      </w:r>
      <w:r w:rsidRPr="7A7A869F">
        <w:rPr>
          <w:lang w:val="en-GB"/>
        </w:rPr>
        <w:t xml:space="preserve"> the question as suggesting that there could be a conflict of jurisdiction between, on the one hand, the Arbitration Panel, because it would be entitled to interpret and apply </w:t>
      </w:r>
      <w:r w:rsidR="00410A5F" w:rsidRPr="7A7A869F">
        <w:rPr>
          <w:lang w:val="en-GB"/>
        </w:rPr>
        <w:t>A</w:t>
      </w:r>
      <w:r w:rsidRPr="7A7A869F">
        <w:rPr>
          <w:lang w:val="en-GB"/>
        </w:rPr>
        <w:t>rticle 35</w:t>
      </w:r>
      <w:r w:rsidR="00410A5F" w:rsidRPr="7A7A869F">
        <w:rPr>
          <w:lang w:val="en-GB"/>
        </w:rPr>
        <w:t xml:space="preserve"> of the Association Agreement</w:t>
      </w:r>
      <w:r w:rsidRPr="7A7A869F">
        <w:rPr>
          <w:lang w:val="en-GB"/>
        </w:rPr>
        <w:t>, including to the extent as the dispute concerns its exceptions, and, on the other hand, the Group of Expert</w:t>
      </w:r>
      <w:r w:rsidR="00FE0FB9" w:rsidRPr="7A7A869F">
        <w:rPr>
          <w:lang w:val="en-GB"/>
        </w:rPr>
        <w:t>s</w:t>
      </w:r>
      <w:r w:rsidRPr="7A7A869F">
        <w:rPr>
          <w:lang w:val="en-GB"/>
        </w:rPr>
        <w:t xml:space="preserve"> mentioned in Article 301</w:t>
      </w:r>
      <w:r w:rsidR="00410A5F" w:rsidRPr="7A7A869F">
        <w:rPr>
          <w:lang w:val="en-GB"/>
        </w:rPr>
        <w:t xml:space="preserve"> of the Association Agreement</w:t>
      </w:r>
      <w:r w:rsidRPr="7A7A869F">
        <w:rPr>
          <w:lang w:val="en-GB"/>
        </w:rPr>
        <w:t>, because the dispute would be grounded on a matter arising under Chapter 13</w:t>
      </w:r>
      <w:r w:rsidR="00E32A20" w:rsidRPr="7A7A869F">
        <w:rPr>
          <w:lang w:val="en-GB"/>
        </w:rPr>
        <w:t xml:space="preserve"> of the Association Agreement</w:t>
      </w:r>
      <w:r w:rsidRPr="7A7A869F">
        <w:rPr>
          <w:lang w:val="en-GB"/>
        </w:rPr>
        <w:t>.</w:t>
      </w:r>
    </w:p>
    <w:p w14:paraId="6151189D" w14:textId="3A8C8306" w:rsidR="00CA1A10" w:rsidRPr="003F63A1" w:rsidRDefault="00401878" w:rsidP="008713FA">
      <w:pPr>
        <w:pStyle w:val="a3"/>
        <w:numPr>
          <w:ilvl w:val="0"/>
          <w:numId w:val="19"/>
        </w:numPr>
        <w:spacing w:after="120" w:line="360" w:lineRule="auto"/>
        <w:rPr>
          <w:lang w:val="en-GB"/>
        </w:rPr>
      </w:pPr>
      <w:r w:rsidRPr="7A7A869F">
        <w:rPr>
          <w:lang w:val="en-GB"/>
        </w:rPr>
        <w:t>However,</w:t>
      </w:r>
      <w:r w:rsidR="0079369E" w:rsidRPr="7A7A869F">
        <w:rPr>
          <w:lang w:val="en-GB"/>
        </w:rPr>
        <w:t xml:space="preserve"> in such a case the apparent conflict of jurisdiction would be easily resolved by </w:t>
      </w:r>
      <w:r w:rsidR="1EC3BB42" w:rsidRPr="7A7A869F">
        <w:rPr>
          <w:lang w:val="en-GB"/>
        </w:rPr>
        <w:t>paragraph</w:t>
      </w:r>
      <w:r w:rsidR="00BB545D" w:rsidRPr="7A7A869F">
        <w:rPr>
          <w:lang w:val="en-GB"/>
        </w:rPr>
        <w:t xml:space="preserve"> 7 of </w:t>
      </w:r>
      <w:r w:rsidR="0079369E" w:rsidRPr="7A7A869F">
        <w:rPr>
          <w:lang w:val="en-GB"/>
        </w:rPr>
        <w:t xml:space="preserve">Article 300 </w:t>
      </w:r>
      <w:r w:rsidR="00E32A20" w:rsidRPr="7A7A869F">
        <w:rPr>
          <w:lang w:val="en-GB"/>
        </w:rPr>
        <w:t xml:space="preserve">of the Association Agreement </w:t>
      </w:r>
      <w:r w:rsidR="0079369E" w:rsidRPr="7A7A869F">
        <w:rPr>
          <w:lang w:val="en-GB"/>
        </w:rPr>
        <w:t>which makes clear that</w:t>
      </w:r>
      <w:r w:rsidR="00BB545D" w:rsidRPr="7A7A869F">
        <w:rPr>
          <w:lang w:val="en-GB"/>
        </w:rPr>
        <w:t>:</w:t>
      </w:r>
      <w:r w:rsidR="0079369E" w:rsidRPr="7A7A869F">
        <w:rPr>
          <w:lang w:val="en-GB"/>
        </w:rPr>
        <w:t xml:space="preserve"> “For any matter arising under this Chapter</w:t>
      </w:r>
      <w:r w:rsidR="00410A5F" w:rsidRPr="7A7A869F">
        <w:rPr>
          <w:lang w:val="en-GB"/>
        </w:rPr>
        <w:t xml:space="preserve"> [i.e. Chapter 13]</w:t>
      </w:r>
      <w:r w:rsidR="0079369E" w:rsidRPr="7A7A869F">
        <w:rPr>
          <w:lang w:val="en-GB"/>
        </w:rPr>
        <w:t xml:space="preserve">, the Parties </w:t>
      </w:r>
      <w:r w:rsidR="0079369E" w:rsidRPr="7A7A869F">
        <w:rPr>
          <w:lang w:val="en-GB"/>
        </w:rPr>
        <w:lastRenderedPageBreak/>
        <w:t xml:space="preserve">shall only have recourse to the procedures provided for in Articles 300 and 301 of this Agreement”. This provision establishes a complete exclusivity of the procedures of Chapter 13, and it makes no difference </w:t>
      </w:r>
      <w:r w:rsidR="00042F53" w:rsidRPr="7A7A869F">
        <w:rPr>
          <w:lang w:val="en-GB"/>
        </w:rPr>
        <w:t xml:space="preserve">whether a </w:t>
      </w:r>
      <w:r w:rsidR="0079369E" w:rsidRPr="7A7A869F">
        <w:rPr>
          <w:lang w:val="en-GB"/>
        </w:rPr>
        <w:t>Chapter</w:t>
      </w:r>
      <w:r w:rsidR="00042F53" w:rsidRPr="7A7A869F">
        <w:rPr>
          <w:lang w:val="en-GB"/>
        </w:rPr>
        <w:t xml:space="preserve"> </w:t>
      </w:r>
      <w:r w:rsidR="0079369E" w:rsidRPr="7A7A869F">
        <w:rPr>
          <w:lang w:val="en-GB"/>
        </w:rPr>
        <w:t xml:space="preserve">13 issue is </w:t>
      </w:r>
      <w:r w:rsidR="0079369E" w:rsidRPr="7A7A869F">
        <w:rPr>
          <w:i/>
          <w:lang w:val="en-GB"/>
        </w:rPr>
        <w:t>also</w:t>
      </w:r>
      <w:r w:rsidR="0079369E" w:rsidRPr="7A7A869F">
        <w:rPr>
          <w:lang w:val="en-GB"/>
        </w:rPr>
        <w:t xml:space="preserve"> connect</w:t>
      </w:r>
      <w:r w:rsidR="00410A5F" w:rsidRPr="7A7A869F">
        <w:rPr>
          <w:lang w:val="en-GB"/>
        </w:rPr>
        <w:t>ed</w:t>
      </w:r>
      <w:r w:rsidR="0079369E" w:rsidRPr="7A7A869F">
        <w:rPr>
          <w:lang w:val="en-GB"/>
        </w:rPr>
        <w:t xml:space="preserve"> with Article 35</w:t>
      </w:r>
      <w:r w:rsidR="00E32A20" w:rsidRPr="7A7A869F">
        <w:rPr>
          <w:lang w:val="en-GB"/>
        </w:rPr>
        <w:t xml:space="preserve"> of the Association Agreement</w:t>
      </w:r>
      <w:r w:rsidR="0079369E" w:rsidRPr="7A7A869F">
        <w:rPr>
          <w:lang w:val="en-GB"/>
        </w:rPr>
        <w:t>. By contrast, there is no such exclusivity clause in Chapter 14</w:t>
      </w:r>
      <w:r w:rsidR="00E32A20" w:rsidRPr="7A7A869F">
        <w:rPr>
          <w:lang w:val="en-GB"/>
        </w:rPr>
        <w:t xml:space="preserve"> of the Association Agreement</w:t>
      </w:r>
      <w:r w:rsidR="0079369E" w:rsidRPr="7A7A869F">
        <w:rPr>
          <w:lang w:val="en-GB"/>
        </w:rPr>
        <w:t xml:space="preserve">. To the contrary, Article 304 </w:t>
      </w:r>
      <w:r w:rsidR="00042F53" w:rsidRPr="7A7A869F">
        <w:rPr>
          <w:lang w:val="en-GB"/>
        </w:rPr>
        <w:t xml:space="preserve">“Scope” </w:t>
      </w:r>
      <w:r w:rsidR="0079369E" w:rsidRPr="7A7A869F">
        <w:rPr>
          <w:lang w:val="en-GB"/>
        </w:rPr>
        <w:t xml:space="preserve">provides that “[t]he provisions of this Chapter </w:t>
      </w:r>
      <w:r w:rsidR="00042F53" w:rsidRPr="7A7A869F">
        <w:rPr>
          <w:lang w:val="en-GB"/>
        </w:rPr>
        <w:t xml:space="preserve">[i.e. Chapter 14 titled “Dispute settlement”] </w:t>
      </w:r>
      <w:r w:rsidR="0079369E" w:rsidRPr="7A7A869F">
        <w:rPr>
          <w:lang w:val="en-GB"/>
        </w:rPr>
        <w:t>apply in respect to any dispute concerning the interpretation and application of the provisions of Title IV of this Agreement except as otherwise expressly provided”.</w:t>
      </w:r>
    </w:p>
    <w:p w14:paraId="69DCABEF" w14:textId="191DDF56" w:rsidR="00CA1A10" w:rsidRPr="003F63A1" w:rsidRDefault="00CA1A10" w:rsidP="00D2454E">
      <w:pPr>
        <w:pStyle w:val="2"/>
        <w:rPr>
          <w:rFonts w:cs="Times New Roman"/>
          <w:lang w:val="en-GB"/>
        </w:rPr>
      </w:pPr>
      <w:bookmarkStart w:id="86" w:name="_Toc52886597"/>
      <w:bookmarkStart w:id="87" w:name="_Toc52896902"/>
      <w:r w:rsidRPr="003F63A1">
        <w:rPr>
          <w:rFonts w:cs="Times New Roman"/>
        </w:rPr>
        <w:t>Question</w:t>
      </w:r>
      <w:r w:rsidRPr="003F63A1">
        <w:rPr>
          <w:rFonts w:cs="Times New Roman"/>
          <w:lang w:val="en-GB"/>
        </w:rPr>
        <w:t xml:space="preserve"> 20</w:t>
      </w:r>
      <w:r w:rsidR="00D2454E" w:rsidRPr="003F63A1">
        <w:rPr>
          <w:rFonts w:cs="Times New Roman"/>
          <w:lang w:val="en-GB"/>
        </w:rPr>
        <w:t xml:space="preserve"> – Re</w:t>
      </w:r>
      <w:r w:rsidR="00976211" w:rsidRPr="003F63A1">
        <w:rPr>
          <w:rFonts w:cs="Times New Roman"/>
          <w:lang w:val="en-GB"/>
        </w:rPr>
        <w:t>garding</w:t>
      </w:r>
      <w:r w:rsidR="00D2454E" w:rsidRPr="003F63A1">
        <w:rPr>
          <w:rFonts w:cs="Times New Roman"/>
          <w:lang w:val="en-GB"/>
        </w:rPr>
        <w:t xml:space="preserve"> Article 290(2) of the </w:t>
      </w:r>
      <w:r w:rsidR="00976211" w:rsidRPr="003F63A1">
        <w:rPr>
          <w:rFonts w:cs="Times New Roman"/>
          <w:lang w:val="en-GB"/>
        </w:rPr>
        <w:t>Association Agreement</w:t>
      </w:r>
      <w:bookmarkEnd w:id="86"/>
      <w:bookmarkEnd w:id="87"/>
    </w:p>
    <w:p w14:paraId="51BCEA08" w14:textId="70E05E1F" w:rsidR="00CA1A10" w:rsidRPr="003F63A1" w:rsidRDefault="00CA1A10" w:rsidP="00CA1A10">
      <w:pPr>
        <w:spacing w:after="120"/>
        <w:jc w:val="both"/>
        <w:rPr>
          <w:sz w:val="26"/>
          <w:szCs w:val="26"/>
          <w:lang w:val="en-GB"/>
        </w:rPr>
      </w:pPr>
      <w:r w:rsidRPr="003F63A1">
        <w:rPr>
          <w:rStyle w:val="st"/>
          <w:b/>
          <w:bCs/>
          <w:sz w:val="26"/>
          <w:szCs w:val="26"/>
          <w:lang w:val="en-GB"/>
        </w:rPr>
        <w:t>MS Ilaria ESPA</w:t>
      </w:r>
      <w:r w:rsidRPr="003F63A1">
        <w:rPr>
          <w:rStyle w:val="st"/>
          <w:sz w:val="26"/>
          <w:szCs w:val="26"/>
          <w:lang w:val="en-GB"/>
        </w:rPr>
        <w:t xml:space="preserve">: </w:t>
      </w:r>
      <w:r w:rsidRPr="003F63A1">
        <w:rPr>
          <w:sz w:val="26"/>
          <w:szCs w:val="26"/>
          <w:lang w:val="en-GB"/>
        </w:rPr>
        <w:t xml:space="preserve">“The last question refers to Article 290 p. 2, which states “as a way to achieve the objectives referred to in this </w:t>
      </w:r>
      <w:r w:rsidR="00AA717D">
        <w:rPr>
          <w:sz w:val="26"/>
          <w:szCs w:val="26"/>
          <w:lang w:val="en-GB"/>
        </w:rPr>
        <w:t>A</w:t>
      </w:r>
      <w:r w:rsidRPr="003F63A1">
        <w:rPr>
          <w:sz w:val="26"/>
          <w:szCs w:val="26"/>
          <w:lang w:val="en-GB"/>
        </w:rPr>
        <w:t xml:space="preserve">rticle, Ukraine shall approximate its laws, regulations and administrative practice to the </w:t>
      </w:r>
      <w:r w:rsidR="004C5332">
        <w:rPr>
          <w:sz w:val="26"/>
          <w:szCs w:val="26"/>
          <w:lang w:val="en-GB"/>
        </w:rPr>
        <w:t>[</w:t>
      </w:r>
      <w:r w:rsidR="003F63A1" w:rsidRPr="003F63A1">
        <w:rPr>
          <w:sz w:val="26"/>
          <w:szCs w:val="26"/>
          <w:lang w:val="en-GB"/>
        </w:rPr>
        <w:t>European Union</w:t>
      </w:r>
      <w:r w:rsidR="004C5332">
        <w:rPr>
          <w:sz w:val="26"/>
          <w:szCs w:val="26"/>
          <w:lang w:val="en-GB"/>
        </w:rPr>
        <w:t>]</w:t>
      </w:r>
      <w:r w:rsidRPr="003F63A1">
        <w:rPr>
          <w:sz w:val="26"/>
          <w:szCs w:val="26"/>
          <w:lang w:val="en-GB"/>
        </w:rPr>
        <w:t xml:space="preserve"> acquis. I was wondering, provided that </w:t>
      </w:r>
      <w:r w:rsidR="004C5332">
        <w:rPr>
          <w:sz w:val="26"/>
          <w:szCs w:val="26"/>
          <w:lang w:val="en-GB"/>
        </w:rPr>
        <w:t>[</w:t>
      </w:r>
      <w:r w:rsidR="002B56D9" w:rsidRPr="003F63A1">
        <w:rPr>
          <w:sz w:val="26"/>
          <w:szCs w:val="26"/>
          <w:lang w:val="en-GB"/>
        </w:rPr>
        <w:t xml:space="preserve">the </w:t>
      </w:r>
      <w:r w:rsidR="003F63A1" w:rsidRPr="003F63A1">
        <w:rPr>
          <w:sz w:val="26"/>
          <w:szCs w:val="26"/>
          <w:lang w:val="en-GB"/>
        </w:rPr>
        <w:t>European Union</w:t>
      </w:r>
      <w:r w:rsidR="004C5332">
        <w:rPr>
          <w:sz w:val="26"/>
          <w:szCs w:val="26"/>
          <w:lang w:val="en-GB"/>
        </w:rPr>
        <w:t>]</w:t>
      </w:r>
      <w:r w:rsidRPr="003F63A1">
        <w:rPr>
          <w:sz w:val="26"/>
          <w:szCs w:val="26"/>
          <w:lang w:val="en-GB"/>
        </w:rPr>
        <w:t xml:space="preserve"> does not achieve forest reprotection goals for export bans, could the </w:t>
      </w:r>
      <w:r w:rsidR="00E32A20">
        <w:rPr>
          <w:sz w:val="26"/>
          <w:szCs w:val="26"/>
          <w:lang w:val="en-GB"/>
        </w:rPr>
        <w:t>P</w:t>
      </w:r>
      <w:r w:rsidRPr="003F63A1">
        <w:rPr>
          <w:sz w:val="26"/>
          <w:szCs w:val="26"/>
          <w:lang w:val="en-GB"/>
        </w:rPr>
        <w:t xml:space="preserve">arties elaborate on the relevance of </w:t>
      </w:r>
      <w:r w:rsidR="00E31BCE" w:rsidRPr="003F63A1">
        <w:rPr>
          <w:sz w:val="26"/>
          <w:szCs w:val="26"/>
          <w:lang w:val="en-GB"/>
        </w:rPr>
        <w:t xml:space="preserve">Article </w:t>
      </w:r>
      <w:r w:rsidRPr="003F63A1">
        <w:rPr>
          <w:sz w:val="26"/>
          <w:szCs w:val="26"/>
          <w:lang w:val="en-GB"/>
        </w:rPr>
        <w:t xml:space="preserve">290 p. 2 in interpreting whether an export ban could fit within the scope of </w:t>
      </w:r>
      <w:r w:rsidR="00C52435" w:rsidRPr="003F63A1">
        <w:rPr>
          <w:sz w:val="26"/>
          <w:szCs w:val="26"/>
          <w:lang w:val="en-GB"/>
        </w:rPr>
        <w:t xml:space="preserve">Article </w:t>
      </w:r>
      <w:r w:rsidRPr="003F63A1">
        <w:rPr>
          <w:sz w:val="26"/>
          <w:szCs w:val="26"/>
          <w:lang w:val="en-GB"/>
        </w:rPr>
        <w:t xml:space="preserve">290 p. 1 alone to be interpreted as an exception. And whether these changes, in case the scope of </w:t>
      </w:r>
      <w:r w:rsidR="00E31BCE" w:rsidRPr="003F63A1">
        <w:rPr>
          <w:sz w:val="26"/>
          <w:szCs w:val="26"/>
          <w:lang w:val="en-GB"/>
        </w:rPr>
        <w:t xml:space="preserve">Article </w:t>
      </w:r>
      <w:r w:rsidRPr="003F63A1">
        <w:rPr>
          <w:sz w:val="26"/>
          <w:szCs w:val="26"/>
          <w:lang w:val="en-GB"/>
        </w:rPr>
        <w:t xml:space="preserve">290 p. 1 will need to be interpreted in connection with </w:t>
      </w:r>
      <w:r w:rsidR="00E31BCE" w:rsidRPr="003F63A1">
        <w:rPr>
          <w:sz w:val="26"/>
          <w:szCs w:val="26"/>
          <w:lang w:val="en-GB"/>
        </w:rPr>
        <w:t xml:space="preserve">Article </w:t>
      </w:r>
      <w:r w:rsidRPr="003F63A1">
        <w:rPr>
          <w:sz w:val="26"/>
          <w:szCs w:val="26"/>
          <w:lang w:val="en-GB"/>
        </w:rPr>
        <w:t>36 of the Association Agreement.”</w:t>
      </w:r>
    </w:p>
    <w:p w14:paraId="2EE8B66F" w14:textId="309B5C20" w:rsidR="0079369E" w:rsidRPr="003F63A1" w:rsidRDefault="0079369E" w:rsidP="0079369E">
      <w:pPr>
        <w:pStyle w:val="a3"/>
        <w:numPr>
          <w:ilvl w:val="0"/>
          <w:numId w:val="19"/>
        </w:numPr>
        <w:spacing w:after="120" w:line="360" w:lineRule="auto"/>
        <w:rPr>
          <w:lang w:val="en-GB"/>
        </w:rPr>
      </w:pPr>
      <w:r w:rsidRPr="7A7A869F">
        <w:rPr>
          <w:lang w:val="en-GB"/>
        </w:rPr>
        <w:t xml:space="preserve">Ukraine has always understood </w:t>
      </w:r>
      <w:r w:rsidR="00320784" w:rsidRPr="7A7A869F">
        <w:rPr>
          <w:lang w:val="en-GB"/>
        </w:rPr>
        <w:t xml:space="preserve">the </w:t>
      </w:r>
      <w:r w:rsidRPr="7A7A869F">
        <w:rPr>
          <w:lang w:val="en-GB"/>
        </w:rPr>
        <w:t xml:space="preserve">provision </w:t>
      </w:r>
      <w:r w:rsidR="00320784" w:rsidRPr="7A7A869F">
        <w:rPr>
          <w:lang w:val="en-GB"/>
        </w:rPr>
        <w:t xml:space="preserve">of Article 290(2) of the Association Agreement </w:t>
      </w:r>
      <w:r w:rsidRPr="7A7A869F">
        <w:rPr>
          <w:lang w:val="en-GB"/>
        </w:rPr>
        <w:t>as providing for “a way to achieve the objectives referred to in this article”, but certainly not “</w:t>
      </w:r>
      <w:r w:rsidRPr="7A7A869F">
        <w:rPr>
          <w:i/>
          <w:lang w:val="en-GB"/>
        </w:rPr>
        <w:t>the only way</w:t>
      </w:r>
      <w:r w:rsidRPr="7A7A869F">
        <w:rPr>
          <w:lang w:val="en-GB"/>
        </w:rPr>
        <w:t>”. Thus, whether or not the E</w:t>
      </w:r>
      <w:r w:rsidR="00320784" w:rsidRPr="7A7A869F">
        <w:rPr>
          <w:lang w:val="en-GB"/>
        </w:rPr>
        <w:t xml:space="preserve">uropean </w:t>
      </w:r>
      <w:r w:rsidRPr="7A7A869F">
        <w:rPr>
          <w:lang w:val="en-GB"/>
        </w:rPr>
        <w:t>U</w:t>
      </w:r>
      <w:r w:rsidR="00320784" w:rsidRPr="7A7A869F">
        <w:rPr>
          <w:lang w:val="en-GB"/>
        </w:rPr>
        <w:t>nion</w:t>
      </w:r>
      <w:r w:rsidRPr="7A7A869F">
        <w:rPr>
          <w:lang w:val="en-GB"/>
        </w:rPr>
        <w:t xml:space="preserve"> puts in place export bans to protect the environment appears irrelevant.</w:t>
      </w:r>
    </w:p>
    <w:p w14:paraId="3ABF0D78" w14:textId="646888FD" w:rsidR="00E31BCE" w:rsidRPr="003F63A1" w:rsidRDefault="00E31BCE" w:rsidP="00D2454E">
      <w:pPr>
        <w:pStyle w:val="2"/>
        <w:rPr>
          <w:rFonts w:cs="Times New Roman"/>
          <w:lang w:val="en-GB"/>
        </w:rPr>
      </w:pPr>
      <w:bookmarkStart w:id="88" w:name="_Toc52886598"/>
      <w:bookmarkStart w:id="89" w:name="_Toc52896903"/>
      <w:r w:rsidRPr="003F63A1">
        <w:rPr>
          <w:rFonts w:cs="Times New Roman"/>
          <w:lang w:val="en-GB"/>
        </w:rPr>
        <w:t>Question 21</w:t>
      </w:r>
      <w:bookmarkEnd w:id="88"/>
      <w:bookmarkEnd w:id="89"/>
    </w:p>
    <w:p w14:paraId="58D4E7AD" w14:textId="176303CC" w:rsidR="00E31BCE" w:rsidRPr="003F63A1" w:rsidRDefault="00E31BCE" w:rsidP="00E31BCE">
      <w:pPr>
        <w:spacing w:after="120"/>
        <w:jc w:val="both"/>
        <w:rPr>
          <w:sz w:val="26"/>
          <w:szCs w:val="26"/>
          <w:lang w:val="en-GB"/>
        </w:rPr>
      </w:pPr>
      <w:r w:rsidRPr="003F63A1">
        <w:rPr>
          <w:rStyle w:val="st"/>
          <w:b/>
          <w:bCs/>
          <w:sz w:val="26"/>
          <w:szCs w:val="26"/>
          <w:lang w:val="en-GB"/>
        </w:rPr>
        <w:t>MS Natalia MUSHAK</w:t>
      </w:r>
      <w:r w:rsidRPr="003F63A1">
        <w:rPr>
          <w:rStyle w:val="st"/>
          <w:sz w:val="26"/>
          <w:szCs w:val="26"/>
          <w:lang w:val="en-GB"/>
        </w:rPr>
        <w:t xml:space="preserve">: </w:t>
      </w:r>
      <w:r w:rsidRPr="003F63A1">
        <w:rPr>
          <w:sz w:val="26"/>
          <w:szCs w:val="26"/>
          <w:lang w:val="en-GB"/>
        </w:rPr>
        <w:t xml:space="preserve">“There is a set of questions to both parties. The first question to the </w:t>
      </w:r>
      <w:r w:rsidR="00A86523">
        <w:rPr>
          <w:sz w:val="26"/>
          <w:szCs w:val="26"/>
          <w:lang w:val="en-GB"/>
        </w:rPr>
        <w:t>[</w:t>
      </w:r>
      <w:r w:rsidR="003F63A1" w:rsidRPr="003F63A1">
        <w:rPr>
          <w:sz w:val="26"/>
          <w:szCs w:val="26"/>
          <w:lang w:val="en-GB"/>
        </w:rPr>
        <w:t>European Union</w:t>
      </w:r>
      <w:r w:rsidR="00A86523">
        <w:rPr>
          <w:sz w:val="26"/>
          <w:szCs w:val="26"/>
          <w:lang w:val="en-GB"/>
        </w:rPr>
        <w:t>]</w:t>
      </w:r>
      <w:r w:rsidRPr="003F63A1">
        <w:rPr>
          <w:sz w:val="26"/>
          <w:szCs w:val="26"/>
          <w:lang w:val="en-GB"/>
        </w:rPr>
        <w:t>.</w:t>
      </w:r>
    </w:p>
    <w:p w14:paraId="4E749301" w14:textId="771B4CE3" w:rsidR="00E31BCE" w:rsidRPr="003F63A1" w:rsidRDefault="00E31BCE" w:rsidP="00E31BCE">
      <w:pPr>
        <w:spacing w:after="120"/>
        <w:jc w:val="both"/>
        <w:rPr>
          <w:sz w:val="26"/>
          <w:szCs w:val="26"/>
          <w:lang w:val="en-GB"/>
        </w:rPr>
      </w:pPr>
      <w:r w:rsidRPr="003F63A1">
        <w:rPr>
          <w:sz w:val="26"/>
          <w:szCs w:val="26"/>
          <w:lang w:val="en-GB"/>
        </w:rPr>
        <w:t xml:space="preserve">Can the </w:t>
      </w:r>
      <w:r w:rsidR="00A86523">
        <w:rPr>
          <w:sz w:val="26"/>
          <w:szCs w:val="26"/>
          <w:lang w:val="en-GB"/>
        </w:rPr>
        <w:t>[</w:t>
      </w:r>
      <w:r w:rsidR="003F63A1" w:rsidRPr="003F63A1">
        <w:rPr>
          <w:sz w:val="26"/>
          <w:szCs w:val="26"/>
          <w:lang w:val="en-GB"/>
        </w:rPr>
        <w:t>European Union</w:t>
      </w:r>
      <w:r w:rsidR="00A86523">
        <w:rPr>
          <w:sz w:val="26"/>
          <w:szCs w:val="26"/>
          <w:lang w:val="en-GB"/>
        </w:rPr>
        <w:t>]</w:t>
      </w:r>
      <w:r w:rsidRPr="003F63A1">
        <w:rPr>
          <w:sz w:val="26"/>
          <w:szCs w:val="26"/>
          <w:lang w:val="en-GB"/>
        </w:rPr>
        <w:t xml:space="preserve"> consider, as an alternative measure, supply of wood for the </w:t>
      </w:r>
      <w:r w:rsidR="00A86523">
        <w:rPr>
          <w:sz w:val="26"/>
          <w:szCs w:val="26"/>
          <w:lang w:val="en-GB"/>
        </w:rPr>
        <w:t>[</w:t>
      </w:r>
      <w:r w:rsidR="00E32A20" w:rsidRPr="003F63A1">
        <w:rPr>
          <w:sz w:val="26"/>
          <w:szCs w:val="26"/>
          <w:lang w:val="en-GB"/>
        </w:rPr>
        <w:t>European Union</w:t>
      </w:r>
      <w:r w:rsidR="00A86523">
        <w:rPr>
          <w:sz w:val="26"/>
          <w:szCs w:val="26"/>
          <w:lang w:val="en-GB"/>
        </w:rPr>
        <w:t>]</w:t>
      </w:r>
      <w:r w:rsidRPr="003F63A1">
        <w:rPr>
          <w:sz w:val="26"/>
          <w:szCs w:val="26"/>
          <w:lang w:val="en-GB"/>
        </w:rPr>
        <w:t xml:space="preserve"> domestic market from the </w:t>
      </w:r>
      <w:r w:rsidR="00A86523">
        <w:rPr>
          <w:sz w:val="26"/>
          <w:szCs w:val="26"/>
          <w:lang w:val="en-GB"/>
        </w:rPr>
        <w:t>[</w:t>
      </w:r>
      <w:r w:rsidR="003F63A1" w:rsidRPr="003F63A1">
        <w:rPr>
          <w:sz w:val="26"/>
          <w:szCs w:val="26"/>
          <w:lang w:val="en-GB"/>
        </w:rPr>
        <w:t>European Union</w:t>
      </w:r>
      <w:r w:rsidR="00A86523">
        <w:rPr>
          <w:sz w:val="26"/>
          <w:szCs w:val="26"/>
          <w:lang w:val="en-GB"/>
        </w:rPr>
        <w:t>]</w:t>
      </w:r>
      <w:r w:rsidRPr="003F63A1">
        <w:rPr>
          <w:sz w:val="26"/>
          <w:szCs w:val="26"/>
          <w:lang w:val="en-GB"/>
        </w:rPr>
        <w:t xml:space="preserve"> member states, such as Germany, Sweden, Romania with larger forest cover than in Ukraine?”</w:t>
      </w:r>
    </w:p>
    <w:p w14:paraId="6938621B" w14:textId="6D6192E1" w:rsidR="00E31BCE" w:rsidRPr="003F63A1" w:rsidRDefault="00E31BCE" w:rsidP="00E31BCE">
      <w:pPr>
        <w:pStyle w:val="a3"/>
        <w:numPr>
          <w:ilvl w:val="0"/>
          <w:numId w:val="19"/>
        </w:numPr>
        <w:spacing w:after="120" w:line="360" w:lineRule="auto"/>
        <w:rPr>
          <w:lang w:val="en-GB"/>
        </w:rPr>
      </w:pPr>
      <w:r w:rsidRPr="7A7A869F">
        <w:rPr>
          <w:lang w:val="en-GB"/>
        </w:rPr>
        <w:t xml:space="preserve">A question for the </w:t>
      </w:r>
      <w:r w:rsidR="003F63A1" w:rsidRPr="7A7A869F">
        <w:rPr>
          <w:lang w:val="en-GB"/>
        </w:rPr>
        <w:t>European Union</w:t>
      </w:r>
      <w:r w:rsidRPr="7A7A869F">
        <w:rPr>
          <w:lang w:val="en-GB"/>
        </w:rPr>
        <w:t>.</w:t>
      </w:r>
    </w:p>
    <w:p w14:paraId="7F094031" w14:textId="39BD3A17" w:rsidR="00E31BCE" w:rsidRPr="003F63A1" w:rsidRDefault="00E31BCE" w:rsidP="00D2454E">
      <w:pPr>
        <w:pStyle w:val="2"/>
        <w:rPr>
          <w:rFonts w:cs="Times New Roman"/>
          <w:lang w:val="en-GB"/>
        </w:rPr>
      </w:pPr>
      <w:bookmarkStart w:id="90" w:name="_Toc52886599"/>
      <w:bookmarkStart w:id="91" w:name="_Toc52896904"/>
      <w:r w:rsidRPr="003F63A1">
        <w:rPr>
          <w:rFonts w:cs="Times New Roman"/>
          <w:lang w:val="en-GB"/>
        </w:rPr>
        <w:lastRenderedPageBreak/>
        <w:t>Question 22</w:t>
      </w:r>
      <w:r w:rsidR="00D2454E" w:rsidRPr="003F63A1">
        <w:rPr>
          <w:rFonts w:cs="Times New Roman"/>
          <w:lang w:val="en-GB"/>
        </w:rPr>
        <w:t xml:space="preserve"> –</w:t>
      </w:r>
      <w:r w:rsidR="00810486" w:rsidRPr="003F63A1">
        <w:rPr>
          <w:rFonts w:cs="Times New Roman"/>
          <w:lang w:val="en-GB"/>
        </w:rPr>
        <w:t xml:space="preserve">The </w:t>
      </w:r>
      <w:r w:rsidR="00D2454E" w:rsidRPr="003F63A1">
        <w:rPr>
          <w:rFonts w:cs="Times New Roman"/>
          <w:lang w:val="en-GB"/>
        </w:rPr>
        <w:t>adoption of the “2018 Amendment”</w:t>
      </w:r>
      <w:r w:rsidR="006A4A2C" w:rsidRPr="003F63A1">
        <w:rPr>
          <w:rFonts w:cs="Times New Roman"/>
          <w:lang w:val="uk-UA"/>
        </w:rPr>
        <w:t xml:space="preserve"> </w:t>
      </w:r>
      <w:r w:rsidR="006A4A2C" w:rsidRPr="003F63A1">
        <w:rPr>
          <w:rFonts w:cs="Times New Roman"/>
          <w:lang w:val="en-GB"/>
        </w:rPr>
        <w:t>law</w:t>
      </w:r>
      <w:bookmarkEnd w:id="90"/>
      <w:bookmarkEnd w:id="91"/>
    </w:p>
    <w:p w14:paraId="4823FA33" w14:textId="534CA9AA" w:rsidR="00E31BCE" w:rsidRPr="003F63A1" w:rsidRDefault="00E31BCE" w:rsidP="00E31BCE">
      <w:pPr>
        <w:spacing w:after="120"/>
        <w:jc w:val="both"/>
        <w:rPr>
          <w:sz w:val="26"/>
          <w:szCs w:val="26"/>
          <w:lang w:val="en-GB"/>
        </w:rPr>
      </w:pPr>
      <w:r w:rsidRPr="003F63A1">
        <w:rPr>
          <w:rStyle w:val="st"/>
          <w:b/>
          <w:bCs/>
          <w:sz w:val="26"/>
          <w:szCs w:val="26"/>
          <w:lang w:val="en-GB"/>
        </w:rPr>
        <w:t>MS Natalia MUSHAK</w:t>
      </w:r>
      <w:r w:rsidRPr="003F63A1">
        <w:rPr>
          <w:rStyle w:val="st"/>
          <w:sz w:val="26"/>
          <w:szCs w:val="26"/>
          <w:lang w:val="en-GB"/>
        </w:rPr>
        <w:t xml:space="preserve">: </w:t>
      </w:r>
      <w:r w:rsidRPr="003F63A1">
        <w:rPr>
          <w:sz w:val="26"/>
          <w:szCs w:val="26"/>
          <w:lang w:val="en-GB"/>
        </w:rPr>
        <w:t xml:space="preserve">“Now the question to the Ukrainian delegation. </w:t>
      </w:r>
      <w:r w:rsidR="00A86523">
        <w:rPr>
          <w:sz w:val="26"/>
          <w:szCs w:val="26"/>
          <w:lang w:val="en-GB"/>
        </w:rPr>
        <w:t>[…]</w:t>
      </w:r>
      <w:r w:rsidRPr="003F63A1">
        <w:rPr>
          <w:sz w:val="26"/>
          <w:szCs w:val="26"/>
          <w:lang w:val="en-GB"/>
        </w:rPr>
        <w:t xml:space="preserve">Could you please explain why the Law 2860 adopted in 2018 was adopted three years later than the </w:t>
      </w:r>
      <w:r w:rsidR="00E32A20">
        <w:rPr>
          <w:sz w:val="26"/>
          <w:szCs w:val="26"/>
          <w:lang w:val="en-GB"/>
        </w:rPr>
        <w:t>“</w:t>
      </w:r>
      <w:r w:rsidRPr="003F63A1">
        <w:rPr>
          <w:sz w:val="26"/>
          <w:szCs w:val="26"/>
          <w:lang w:val="en-GB"/>
        </w:rPr>
        <w:t>2015 temporary export ban</w:t>
      </w:r>
      <w:r w:rsidR="00E32A20">
        <w:rPr>
          <w:sz w:val="26"/>
          <w:szCs w:val="26"/>
          <w:lang w:val="en-GB"/>
        </w:rPr>
        <w:t>”</w:t>
      </w:r>
      <w:r w:rsidRPr="003F63A1">
        <w:rPr>
          <w:sz w:val="26"/>
          <w:szCs w:val="26"/>
          <w:lang w:val="en-GB"/>
        </w:rPr>
        <w:t>?”</w:t>
      </w:r>
    </w:p>
    <w:p w14:paraId="2981C398" w14:textId="72625819" w:rsidR="0044689D" w:rsidRPr="003F63A1" w:rsidRDefault="00174FD9" w:rsidP="00254875">
      <w:pPr>
        <w:pStyle w:val="a3"/>
        <w:numPr>
          <w:ilvl w:val="0"/>
          <w:numId w:val="19"/>
        </w:numPr>
        <w:spacing w:after="120" w:line="360" w:lineRule="auto"/>
        <w:rPr>
          <w:lang w:val="en-GB"/>
        </w:rPr>
      </w:pPr>
      <w:r w:rsidRPr="7A7A869F">
        <w:rPr>
          <w:lang w:val="en-GB"/>
        </w:rPr>
        <w:t>At the hearing</w:t>
      </w:r>
      <w:r w:rsidR="004D4832" w:rsidRPr="7A7A869F">
        <w:rPr>
          <w:lang w:val="en-GB"/>
        </w:rPr>
        <w:t>s</w:t>
      </w:r>
      <w:r w:rsidRPr="7A7A869F">
        <w:rPr>
          <w:lang w:val="en-GB"/>
        </w:rPr>
        <w:t xml:space="preserve">, Ukraine already explained </w:t>
      </w:r>
      <w:r w:rsidR="004D4832" w:rsidRPr="7A7A869F">
        <w:rPr>
          <w:lang w:val="en-GB"/>
        </w:rPr>
        <w:t xml:space="preserve">the timeline of adoption of Law of Ukraine No. </w:t>
      </w:r>
      <w:r w:rsidR="004D4832" w:rsidRPr="7A7A869F">
        <w:rPr>
          <w:rStyle w:val="rvts44"/>
          <w:lang w:val="en-GB"/>
        </w:rPr>
        <w:t>2531-VIII, dated 6 September 2018,</w:t>
      </w:r>
      <w:r w:rsidR="004D4832" w:rsidRPr="7A7A869F">
        <w:rPr>
          <w:rStyle w:val="af6"/>
          <w:lang w:val="en-GB"/>
        </w:rPr>
        <w:t xml:space="preserve"> </w:t>
      </w:r>
      <w:r w:rsidR="004D4832" w:rsidRPr="7A7A869F">
        <w:rPr>
          <w:rStyle w:val="rvts44"/>
          <w:lang w:val="en-GB"/>
        </w:rPr>
        <w:t xml:space="preserve">which has introduced, inter alia, the </w:t>
      </w:r>
      <w:r w:rsidR="004D4832" w:rsidRPr="7A7A869F">
        <w:rPr>
          <w:lang w:val="en-GB"/>
        </w:rPr>
        <w:t>25 million cubic meter</w:t>
      </w:r>
      <w:r w:rsidR="008D492F" w:rsidRPr="7A7A869F">
        <w:rPr>
          <w:lang w:val="en-GB"/>
        </w:rPr>
        <w:t>s</w:t>
      </w:r>
      <w:r w:rsidR="004D4832" w:rsidRPr="7A7A869F">
        <w:rPr>
          <w:lang w:val="en-GB"/>
        </w:rPr>
        <w:t xml:space="preserve"> annual cap on domestic consumption of unprocessed timber</w:t>
      </w:r>
      <w:r w:rsidR="0044689D" w:rsidRPr="7A7A869F">
        <w:rPr>
          <w:lang w:val="en-GB"/>
        </w:rPr>
        <w:t xml:space="preserve">, as well as </w:t>
      </w:r>
      <w:r w:rsidRPr="7A7A869F">
        <w:rPr>
          <w:lang w:val="en-GB"/>
        </w:rPr>
        <w:t xml:space="preserve">the reason </w:t>
      </w:r>
      <w:r w:rsidR="0044689D" w:rsidRPr="7A7A869F">
        <w:rPr>
          <w:lang w:val="en-GB"/>
        </w:rPr>
        <w:t xml:space="preserve">why this Law was adopted </w:t>
      </w:r>
      <w:r w:rsidR="00453659" w:rsidRPr="7A7A869F">
        <w:rPr>
          <w:lang w:val="en-GB"/>
        </w:rPr>
        <w:t xml:space="preserve">three years later </w:t>
      </w:r>
      <w:r w:rsidR="00A44FD2" w:rsidRPr="7A7A869F">
        <w:rPr>
          <w:lang w:val="en-GB"/>
        </w:rPr>
        <w:t xml:space="preserve">after </w:t>
      </w:r>
      <w:r w:rsidR="007B7AF9" w:rsidRPr="7A7A869F">
        <w:rPr>
          <w:lang w:val="en-GB"/>
        </w:rPr>
        <w:t>Law of Ukraine No. 325-VIII, dated 9 April 2015, introducing the “2015 temporary export ban”</w:t>
      </w:r>
      <w:r w:rsidR="00A44FD2" w:rsidRPr="7A7A869F">
        <w:rPr>
          <w:lang w:val="en-GB"/>
        </w:rPr>
        <w:t>, had been adopted</w:t>
      </w:r>
      <w:r w:rsidR="008A1654" w:rsidRPr="7A7A869F">
        <w:rPr>
          <w:lang w:val="en-GB"/>
        </w:rPr>
        <w:t>.</w:t>
      </w:r>
      <w:r w:rsidR="00AC03D7" w:rsidRPr="7A7A869F">
        <w:rPr>
          <w:rStyle w:val="af6"/>
          <w:lang w:val="en-GB"/>
        </w:rPr>
        <w:footnoteReference w:id="104"/>
      </w:r>
    </w:p>
    <w:p w14:paraId="5F101CFF" w14:textId="224F6831" w:rsidR="00612963" w:rsidRPr="003F63A1" w:rsidRDefault="0044689D" w:rsidP="00254875">
      <w:pPr>
        <w:pStyle w:val="a3"/>
        <w:numPr>
          <w:ilvl w:val="0"/>
          <w:numId w:val="19"/>
        </w:numPr>
        <w:spacing w:after="120" w:line="360" w:lineRule="auto"/>
        <w:rPr>
          <w:lang w:val="en-GB"/>
        </w:rPr>
      </w:pPr>
      <w:r w:rsidRPr="7A7A869F">
        <w:rPr>
          <w:lang w:val="en-GB"/>
        </w:rPr>
        <w:t>To reiterate, t</w:t>
      </w:r>
      <w:r w:rsidR="008A1654" w:rsidRPr="7A7A869F">
        <w:rPr>
          <w:lang w:val="en-GB"/>
        </w:rPr>
        <w:t xml:space="preserve">he reason laid in </w:t>
      </w:r>
      <w:r w:rsidR="00A44FD2" w:rsidRPr="7A7A869F">
        <w:rPr>
          <w:lang w:val="en-GB"/>
        </w:rPr>
        <w:t xml:space="preserve">the specifics </w:t>
      </w:r>
      <w:r w:rsidR="00167625" w:rsidRPr="7A7A869F">
        <w:rPr>
          <w:lang w:val="en-GB"/>
        </w:rPr>
        <w:t xml:space="preserve">and lengthiness </w:t>
      </w:r>
      <w:r w:rsidR="00A44FD2" w:rsidRPr="7A7A869F">
        <w:rPr>
          <w:lang w:val="en-GB"/>
        </w:rPr>
        <w:t>of the procedure for adoption of laws in Ukraine</w:t>
      </w:r>
      <w:r w:rsidR="0010220C" w:rsidRPr="7A7A869F">
        <w:rPr>
          <w:lang w:val="en-GB"/>
        </w:rPr>
        <w:t>.</w:t>
      </w:r>
    </w:p>
    <w:p w14:paraId="647B88C0" w14:textId="65A7E9E2" w:rsidR="0010220C" w:rsidRPr="003F63A1" w:rsidRDefault="0010220C" w:rsidP="00254875">
      <w:pPr>
        <w:pStyle w:val="a3"/>
        <w:numPr>
          <w:ilvl w:val="0"/>
          <w:numId w:val="19"/>
        </w:numPr>
        <w:spacing w:after="120" w:line="360" w:lineRule="auto"/>
        <w:rPr>
          <w:lang w:val="en-GB"/>
        </w:rPr>
      </w:pPr>
      <w:r w:rsidRPr="7A7A869F">
        <w:rPr>
          <w:lang w:val="en-GB"/>
        </w:rPr>
        <w:t>The procedure for adop</w:t>
      </w:r>
      <w:r w:rsidR="00612963" w:rsidRPr="7A7A869F">
        <w:rPr>
          <w:lang w:val="en-GB"/>
        </w:rPr>
        <w:t xml:space="preserve">ting laws in Ukraine is mainly governed by Chapters IV and V of the Constitution of Ukraine and Law of Ukraine </w:t>
      </w:r>
      <w:r w:rsidR="00612963" w:rsidRPr="7A7A869F">
        <w:rPr>
          <w:i/>
          <w:lang w:val="en-GB"/>
        </w:rPr>
        <w:t>“On the Rules of Procedure of the Verkhovna Rada of Ukraine”</w:t>
      </w:r>
      <w:r w:rsidR="00612963" w:rsidRPr="7A7A869F">
        <w:rPr>
          <w:lang w:val="en-GB"/>
        </w:rPr>
        <w:t xml:space="preserve"> No. 1861-VI, dated 10 February 2010 and envisages the following main stages</w:t>
      </w:r>
      <w:r w:rsidR="004973F8" w:rsidRPr="7A7A869F">
        <w:rPr>
          <w:lang w:val="en-GB"/>
        </w:rPr>
        <w:t xml:space="preserve"> for a law to come into force</w:t>
      </w:r>
      <w:r w:rsidR="003C628A" w:rsidRPr="7A7A869F">
        <w:rPr>
          <w:lang w:val="en-GB"/>
        </w:rPr>
        <w:t xml:space="preserve"> (</w:t>
      </w:r>
      <w:r w:rsidR="003C628A" w:rsidRPr="7A7A869F">
        <w:rPr>
          <w:i/>
          <w:lang w:val="en-GB"/>
        </w:rPr>
        <w:t xml:space="preserve">note: </w:t>
      </w:r>
      <w:r w:rsidR="008E445F" w:rsidRPr="7A7A869F">
        <w:rPr>
          <w:i/>
          <w:lang w:val="en-GB"/>
        </w:rPr>
        <w:t xml:space="preserve">these stages are described for the procedure of adoption of ordinary </w:t>
      </w:r>
      <w:r w:rsidR="003C628A" w:rsidRPr="7A7A869F">
        <w:rPr>
          <w:i/>
          <w:lang w:val="en-GB"/>
        </w:rPr>
        <w:t>laws</w:t>
      </w:r>
      <w:r w:rsidR="008E445F" w:rsidRPr="7A7A869F">
        <w:rPr>
          <w:i/>
          <w:lang w:val="en-GB"/>
        </w:rPr>
        <w:t xml:space="preserve">, i.e. </w:t>
      </w:r>
      <w:r w:rsidR="005C5833" w:rsidRPr="7A7A869F">
        <w:rPr>
          <w:i/>
          <w:lang w:val="en-GB"/>
        </w:rPr>
        <w:t xml:space="preserve">not special ones aimed at </w:t>
      </w:r>
      <w:r w:rsidR="008E445F" w:rsidRPr="7A7A869F">
        <w:rPr>
          <w:i/>
          <w:lang w:val="en-GB"/>
        </w:rPr>
        <w:t xml:space="preserve">changing the Constitution </w:t>
      </w:r>
      <w:r w:rsidR="005C5833" w:rsidRPr="7A7A869F">
        <w:rPr>
          <w:i/>
          <w:lang w:val="en-GB"/>
        </w:rPr>
        <w:t>of Ukraine or adopting the State Budget for a certain year, etc.</w:t>
      </w:r>
      <w:r w:rsidR="003C628A" w:rsidRPr="7A7A869F">
        <w:rPr>
          <w:lang w:val="en-GB"/>
        </w:rPr>
        <w:t>)</w:t>
      </w:r>
      <w:r w:rsidR="00612963" w:rsidRPr="7A7A869F">
        <w:rPr>
          <w:lang w:val="en-GB"/>
        </w:rPr>
        <w:t>:</w:t>
      </w:r>
    </w:p>
    <w:p w14:paraId="4F5A678F" w14:textId="508E46AF" w:rsidR="00612963" w:rsidRPr="003F63A1" w:rsidRDefault="005C5833" w:rsidP="00612963">
      <w:pPr>
        <w:pStyle w:val="a3"/>
        <w:numPr>
          <w:ilvl w:val="1"/>
          <w:numId w:val="19"/>
        </w:numPr>
        <w:spacing w:after="120" w:line="360" w:lineRule="auto"/>
        <w:rPr>
          <w:lang w:val="en-GB"/>
        </w:rPr>
      </w:pPr>
      <w:r w:rsidRPr="7A7A869F">
        <w:rPr>
          <w:lang w:val="en-GB"/>
        </w:rPr>
        <w:t xml:space="preserve">Submitting a draft law to the </w:t>
      </w:r>
      <w:r w:rsidR="00F62472" w:rsidRPr="7A7A869F">
        <w:rPr>
          <w:lang w:val="en-GB"/>
        </w:rPr>
        <w:t>Ukrainian Parliament for consideration</w:t>
      </w:r>
      <w:r w:rsidR="003C393E" w:rsidRPr="7A7A869F">
        <w:rPr>
          <w:lang w:val="en-GB"/>
        </w:rPr>
        <w:t>;</w:t>
      </w:r>
    </w:p>
    <w:p w14:paraId="1748A2F1" w14:textId="14EB63AF" w:rsidR="00F62472" w:rsidRPr="003F63A1" w:rsidRDefault="00F62472" w:rsidP="00254875">
      <w:pPr>
        <w:pStyle w:val="a3"/>
        <w:numPr>
          <w:ilvl w:val="1"/>
          <w:numId w:val="19"/>
        </w:numPr>
        <w:spacing w:after="120" w:line="360" w:lineRule="auto"/>
        <w:rPr>
          <w:lang w:val="en-GB"/>
        </w:rPr>
      </w:pPr>
      <w:r w:rsidRPr="7A7A869F">
        <w:rPr>
          <w:lang w:val="en-GB"/>
        </w:rPr>
        <w:t xml:space="preserve">Consideration and approval of the draft law </w:t>
      </w:r>
      <w:r w:rsidR="003C393E" w:rsidRPr="7A7A869F">
        <w:rPr>
          <w:lang w:val="en-GB"/>
        </w:rPr>
        <w:t>in the first reading;</w:t>
      </w:r>
    </w:p>
    <w:p w14:paraId="255BDF1C" w14:textId="44A3F7CF" w:rsidR="003C393E" w:rsidRPr="003F63A1" w:rsidRDefault="003C393E" w:rsidP="00254875">
      <w:pPr>
        <w:pStyle w:val="a3"/>
        <w:numPr>
          <w:ilvl w:val="1"/>
          <w:numId w:val="19"/>
        </w:numPr>
        <w:spacing w:after="120" w:line="360" w:lineRule="auto"/>
        <w:rPr>
          <w:lang w:val="en-GB"/>
        </w:rPr>
      </w:pPr>
      <w:r w:rsidRPr="7A7A869F">
        <w:rPr>
          <w:lang w:val="en-GB"/>
        </w:rPr>
        <w:t>Consideration and approval of the draft law in the second reading;</w:t>
      </w:r>
    </w:p>
    <w:p w14:paraId="61669E75" w14:textId="41DAA6CD" w:rsidR="003C393E" w:rsidRPr="003F63A1" w:rsidRDefault="003C393E" w:rsidP="00254875">
      <w:pPr>
        <w:pStyle w:val="a3"/>
        <w:numPr>
          <w:ilvl w:val="1"/>
          <w:numId w:val="19"/>
        </w:numPr>
        <w:spacing w:after="120" w:line="360" w:lineRule="auto"/>
        <w:rPr>
          <w:lang w:val="en-GB"/>
        </w:rPr>
      </w:pPr>
      <w:r w:rsidRPr="7A7A869F">
        <w:rPr>
          <w:lang w:val="en-GB"/>
        </w:rPr>
        <w:t>Consideration and approval of the draft law in the third reading (</w:t>
      </w:r>
      <w:r w:rsidRPr="7A7A869F">
        <w:rPr>
          <w:i/>
          <w:lang w:val="en-GB"/>
        </w:rPr>
        <w:t>if need</w:t>
      </w:r>
      <w:r w:rsidR="00D53ECB" w:rsidRPr="7A7A869F">
        <w:rPr>
          <w:i/>
          <w:lang w:val="en-GB"/>
        </w:rPr>
        <w:t>ed</w:t>
      </w:r>
      <w:r w:rsidRPr="7A7A869F">
        <w:rPr>
          <w:lang w:val="en-GB"/>
        </w:rPr>
        <w:t>);</w:t>
      </w:r>
    </w:p>
    <w:p w14:paraId="2FA17A06" w14:textId="4120E319" w:rsidR="003C393E" w:rsidRPr="003F63A1" w:rsidRDefault="003C393E" w:rsidP="003C393E">
      <w:pPr>
        <w:pStyle w:val="a3"/>
        <w:numPr>
          <w:ilvl w:val="1"/>
          <w:numId w:val="19"/>
        </w:numPr>
        <w:spacing w:after="120" w:line="360" w:lineRule="auto"/>
        <w:rPr>
          <w:lang w:val="en-GB"/>
        </w:rPr>
      </w:pPr>
      <w:r w:rsidRPr="7A7A869F">
        <w:rPr>
          <w:lang w:val="en-GB"/>
        </w:rPr>
        <w:t>Preparing the adopted law before submitting it to the President of Ukraine for signing;</w:t>
      </w:r>
    </w:p>
    <w:p w14:paraId="25B51551" w14:textId="5995CCC5" w:rsidR="003C393E" w:rsidRPr="003F63A1" w:rsidRDefault="003C393E" w:rsidP="003C393E">
      <w:pPr>
        <w:pStyle w:val="a3"/>
        <w:numPr>
          <w:ilvl w:val="1"/>
          <w:numId w:val="19"/>
        </w:numPr>
        <w:spacing w:after="120" w:line="360" w:lineRule="auto"/>
        <w:rPr>
          <w:lang w:val="en-GB"/>
        </w:rPr>
      </w:pPr>
      <w:r w:rsidRPr="7A7A869F">
        <w:rPr>
          <w:lang w:val="en-GB"/>
        </w:rPr>
        <w:t>Signing of the adopted law by the President of Ukraine;</w:t>
      </w:r>
    </w:p>
    <w:p w14:paraId="62DD7DE0" w14:textId="442FEA2E" w:rsidR="003C393E" w:rsidRPr="003F63A1" w:rsidRDefault="00E74375" w:rsidP="003C393E">
      <w:pPr>
        <w:pStyle w:val="a3"/>
        <w:numPr>
          <w:ilvl w:val="1"/>
          <w:numId w:val="19"/>
        </w:numPr>
        <w:spacing w:after="120" w:line="360" w:lineRule="auto"/>
        <w:rPr>
          <w:lang w:val="en-GB"/>
        </w:rPr>
      </w:pPr>
      <w:r w:rsidRPr="7A7A869F">
        <w:rPr>
          <w:lang w:val="en-GB"/>
        </w:rPr>
        <w:t xml:space="preserve">Publishing the adopted law in one </w:t>
      </w:r>
      <w:r w:rsidR="000077C7" w:rsidRPr="7A7A869F">
        <w:rPr>
          <w:lang w:val="en-GB"/>
        </w:rPr>
        <w:t xml:space="preserve">of </w:t>
      </w:r>
      <w:r w:rsidRPr="7A7A869F">
        <w:rPr>
          <w:lang w:val="en-GB"/>
        </w:rPr>
        <w:t>the official newspaper</w:t>
      </w:r>
      <w:r w:rsidR="000077C7" w:rsidRPr="7A7A869F">
        <w:rPr>
          <w:lang w:val="en-GB"/>
        </w:rPr>
        <w:t>s</w:t>
      </w:r>
      <w:r w:rsidRPr="7A7A869F">
        <w:rPr>
          <w:lang w:val="en-GB"/>
        </w:rPr>
        <w:t>.</w:t>
      </w:r>
    </w:p>
    <w:p w14:paraId="4E7ECACE" w14:textId="1A5B4B23" w:rsidR="00053CC0" w:rsidRPr="003F63A1" w:rsidRDefault="000077C7" w:rsidP="00254875">
      <w:pPr>
        <w:pStyle w:val="a3"/>
        <w:numPr>
          <w:ilvl w:val="0"/>
          <w:numId w:val="19"/>
        </w:numPr>
        <w:spacing w:after="120" w:line="360" w:lineRule="auto"/>
        <w:rPr>
          <w:lang w:val="en-GB"/>
        </w:rPr>
      </w:pPr>
      <w:r w:rsidRPr="7A7A869F">
        <w:rPr>
          <w:lang w:val="en-GB"/>
        </w:rPr>
        <w:lastRenderedPageBreak/>
        <w:t xml:space="preserve">The timeline of adoption of </w:t>
      </w:r>
      <w:r w:rsidR="00053CC0" w:rsidRPr="7A7A869F">
        <w:rPr>
          <w:lang w:val="en-GB"/>
        </w:rPr>
        <w:t xml:space="preserve">Law of Ukraine No. </w:t>
      </w:r>
      <w:r w:rsidR="00053CC0" w:rsidRPr="7A7A869F">
        <w:rPr>
          <w:rStyle w:val="rvts44"/>
          <w:lang w:val="en-GB"/>
        </w:rPr>
        <w:t>2531-VIII is available at the website of the Ukrainian Pa</w:t>
      </w:r>
      <w:r w:rsidR="00225B0D" w:rsidRPr="7A7A869F">
        <w:rPr>
          <w:rStyle w:val="rvts44"/>
          <w:lang w:val="en-GB"/>
        </w:rPr>
        <w:t>rliament,</w:t>
      </w:r>
      <w:r w:rsidR="00225B0D" w:rsidRPr="7A7A869F">
        <w:rPr>
          <w:rStyle w:val="af6"/>
          <w:lang w:val="en-GB"/>
        </w:rPr>
        <w:footnoteReference w:id="105"/>
      </w:r>
      <w:r w:rsidR="00225B0D" w:rsidRPr="7A7A869F">
        <w:rPr>
          <w:rStyle w:val="rvts44"/>
          <w:lang w:val="en-GB"/>
        </w:rPr>
        <w:t xml:space="preserve"> but it is useful to recall that its adoption began on 6 December 2016, when the Ukrainian Parliament received </w:t>
      </w:r>
      <w:r w:rsidR="00225B0D" w:rsidRPr="7A7A869F">
        <w:rPr>
          <w:lang w:val="en-GB"/>
        </w:rPr>
        <w:t>Draft Law No. 5495</w:t>
      </w:r>
      <w:r w:rsidR="00B6126B" w:rsidRPr="7A7A869F">
        <w:rPr>
          <w:lang w:val="en-GB"/>
        </w:rPr>
        <w:t xml:space="preserve">. It took more than 16 months </w:t>
      </w:r>
      <w:r w:rsidR="005652E7" w:rsidRPr="7A7A869F">
        <w:rPr>
          <w:lang w:val="en-GB"/>
        </w:rPr>
        <w:t>before the draft law was included for voting in the first reading, which eventually happened on 20 March 2018.</w:t>
      </w:r>
    </w:p>
    <w:p w14:paraId="07CD3FC3" w14:textId="403A3936" w:rsidR="00E32A20" w:rsidRPr="001D74A6" w:rsidRDefault="008F48B4" w:rsidP="00680FAA">
      <w:pPr>
        <w:pStyle w:val="a3"/>
        <w:numPr>
          <w:ilvl w:val="0"/>
          <w:numId w:val="19"/>
        </w:numPr>
        <w:spacing w:after="120" w:line="360" w:lineRule="auto"/>
        <w:rPr>
          <w:rFonts w:eastAsiaTheme="minorEastAsia"/>
          <w:lang w:val="en-GB"/>
        </w:rPr>
      </w:pPr>
      <w:r w:rsidRPr="7A7A869F">
        <w:rPr>
          <w:lang w:val="en-GB"/>
        </w:rPr>
        <w:t>On 3 July 2018</w:t>
      </w:r>
      <w:r w:rsidR="0035717C" w:rsidRPr="7A7A869F">
        <w:rPr>
          <w:lang w:val="en-GB"/>
        </w:rPr>
        <w:t>,</w:t>
      </w:r>
      <w:r w:rsidRPr="7A7A869F">
        <w:rPr>
          <w:lang w:val="en-GB"/>
        </w:rPr>
        <w:t xml:space="preserve"> Members of the </w:t>
      </w:r>
      <w:r w:rsidR="587FCA4E" w:rsidRPr="7A7A869F">
        <w:rPr>
          <w:lang w:val="en-GB"/>
        </w:rPr>
        <w:t xml:space="preserve">Ukrainian </w:t>
      </w:r>
      <w:r w:rsidRPr="7A7A869F">
        <w:rPr>
          <w:lang w:val="en-GB"/>
        </w:rPr>
        <w:t>Parliament were voting for amended Draft Law No. 5495</w:t>
      </w:r>
      <w:r w:rsidR="00A00408" w:rsidRPr="7A7A869F">
        <w:rPr>
          <w:lang w:val="en-US"/>
        </w:rPr>
        <w:t>,</w:t>
      </w:r>
      <w:r w:rsidRPr="7A7A869F">
        <w:rPr>
          <w:lang w:val="en-GB"/>
        </w:rPr>
        <w:t xml:space="preserve"> prepared for the second reading</w:t>
      </w:r>
      <w:r w:rsidR="00680FAA" w:rsidRPr="7A7A869F">
        <w:rPr>
          <w:lang w:val="en-GB"/>
        </w:rPr>
        <w:t xml:space="preserve"> </w:t>
      </w:r>
      <w:r w:rsidRPr="7A7A869F">
        <w:rPr>
          <w:lang w:val="en-GB"/>
        </w:rPr>
        <w:t xml:space="preserve">and, </w:t>
      </w:r>
      <w:r w:rsidR="00680FAA" w:rsidRPr="7A7A869F">
        <w:rPr>
          <w:lang w:val="en-GB"/>
        </w:rPr>
        <w:t>finally</w:t>
      </w:r>
      <w:r w:rsidRPr="7A7A869F">
        <w:rPr>
          <w:lang w:val="en-GB"/>
        </w:rPr>
        <w:t xml:space="preserve">, adopted </w:t>
      </w:r>
      <w:r w:rsidR="00680FAA" w:rsidRPr="7A7A869F">
        <w:rPr>
          <w:lang w:val="en-GB"/>
        </w:rPr>
        <w:t xml:space="preserve">it as </w:t>
      </w:r>
      <w:r w:rsidR="00482314" w:rsidRPr="7A7A869F">
        <w:rPr>
          <w:lang w:val="en-GB"/>
        </w:rPr>
        <w:t>L</w:t>
      </w:r>
      <w:r w:rsidRPr="7A7A869F">
        <w:rPr>
          <w:lang w:val="en-GB"/>
        </w:rPr>
        <w:t xml:space="preserve">aw </w:t>
      </w:r>
      <w:r w:rsidR="00680FAA" w:rsidRPr="7A7A869F">
        <w:rPr>
          <w:lang w:val="en-GB"/>
        </w:rPr>
        <w:t xml:space="preserve">of Ukraine </w:t>
      </w:r>
      <w:r w:rsidRPr="7A7A869F">
        <w:rPr>
          <w:lang w:val="en-GB"/>
        </w:rPr>
        <w:t>No. 2480</w:t>
      </w:r>
      <w:r w:rsidR="00223211" w:rsidRPr="7A7A869F">
        <w:rPr>
          <w:lang w:val="en-GB"/>
        </w:rPr>
        <w:t xml:space="preserve">-VIII, </w:t>
      </w:r>
      <w:r w:rsidR="00680FAA" w:rsidRPr="7A7A869F">
        <w:rPr>
          <w:lang w:val="en-GB"/>
        </w:rPr>
        <w:t>which introduced a temporary prohibition for a period of eight years on exports of fuel wood.</w:t>
      </w:r>
      <w:r w:rsidR="006A02D4" w:rsidRPr="7A7A869F">
        <w:rPr>
          <w:rStyle w:val="af6"/>
          <w:lang w:val="en-GB"/>
        </w:rPr>
        <w:footnoteReference w:id="106"/>
      </w:r>
      <w:r w:rsidR="00680FAA" w:rsidRPr="7A7A869F">
        <w:rPr>
          <w:lang w:val="en-GB"/>
        </w:rPr>
        <w:t xml:space="preserve"> That law was vetoed by the President of Ukraine in July 2018, who gave his proposal</w:t>
      </w:r>
      <w:r w:rsidR="00786449" w:rsidRPr="7A7A869F">
        <w:rPr>
          <w:lang w:val="en-GB"/>
        </w:rPr>
        <w:t>s</w:t>
      </w:r>
      <w:r w:rsidR="00680FAA" w:rsidRPr="7A7A869F">
        <w:rPr>
          <w:lang w:val="en-GB"/>
        </w:rPr>
        <w:t xml:space="preserve">. This resulted in </w:t>
      </w:r>
      <w:r w:rsidR="001E3D5E" w:rsidRPr="7A7A869F">
        <w:rPr>
          <w:lang w:val="en-GB"/>
        </w:rPr>
        <w:t>considering these proposals by the Ukrainian Parliament and voting again for Draft Law No. 5495 (with the President’s proposals)</w:t>
      </w:r>
      <w:r w:rsidR="004973F8" w:rsidRPr="7A7A869F">
        <w:rPr>
          <w:lang w:val="en-GB"/>
        </w:rPr>
        <w:t xml:space="preserve"> on 6 September 2018. It took </w:t>
      </w:r>
      <w:r w:rsidR="0049030E" w:rsidRPr="7A7A869F">
        <w:rPr>
          <w:lang w:val="en-GB"/>
        </w:rPr>
        <w:t xml:space="preserve">one </w:t>
      </w:r>
      <w:r w:rsidR="004973F8" w:rsidRPr="7A7A869F">
        <w:rPr>
          <w:lang w:val="en-GB"/>
        </w:rPr>
        <w:t xml:space="preserve">month </w:t>
      </w:r>
      <w:r w:rsidR="0049030E" w:rsidRPr="7A7A869F">
        <w:rPr>
          <w:lang w:val="en-GB"/>
        </w:rPr>
        <w:t xml:space="preserve">for </w:t>
      </w:r>
      <w:r w:rsidR="004973F8" w:rsidRPr="7A7A869F">
        <w:rPr>
          <w:lang w:val="en-GB"/>
        </w:rPr>
        <w:t xml:space="preserve">the President of Ukraine </w:t>
      </w:r>
      <w:r w:rsidR="0049030E" w:rsidRPr="7A7A869F">
        <w:rPr>
          <w:lang w:val="en-GB"/>
        </w:rPr>
        <w:t xml:space="preserve">to </w:t>
      </w:r>
      <w:r w:rsidR="004973F8" w:rsidRPr="7A7A869F">
        <w:rPr>
          <w:lang w:val="en-GB"/>
        </w:rPr>
        <w:t xml:space="preserve">sign Law No. </w:t>
      </w:r>
      <w:r w:rsidR="0049030E" w:rsidRPr="7A7A869F">
        <w:rPr>
          <w:rStyle w:val="rvts44"/>
          <w:lang w:val="en-GB"/>
        </w:rPr>
        <w:t xml:space="preserve">2531-VIII and the </w:t>
      </w:r>
      <w:r w:rsidR="006A02D4" w:rsidRPr="7A7A869F">
        <w:rPr>
          <w:rStyle w:val="rvts44"/>
          <w:lang w:val="en-GB"/>
        </w:rPr>
        <w:t xml:space="preserve">Administrative Office of the Verkhovna Rada to make necessary arrangements for the law to be published on 6 October 2018 in the </w:t>
      </w:r>
      <w:r w:rsidR="00810486" w:rsidRPr="7A7A869F">
        <w:rPr>
          <w:rStyle w:val="rvts44"/>
          <w:lang w:val="en-GB"/>
        </w:rPr>
        <w:t xml:space="preserve">official </w:t>
      </w:r>
      <w:r w:rsidR="006A02D4" w:rsidRPr="7A7A869F">
        <w:rPr>
          <w:rStyle w:val="rvts44"/>
          <w:lang w:val="en-GB"/>
        </w:rPr>
        <w:t>newspaper “Golos Ukrainy”.</w:t>
      </w:r>
      <w:r w:rsidR="008D2293" w:rsidRPr="7A7A869F">
        <w:rPr>
          <w:rStyle w:val="rvts44"/>
          <w:lang w:val="en-GB"/>
        </w:rPr>
        <w:t xml:space="preserve"> To recall, </w:t>
      </w:r>
      <w:r w:rsidR="008D2293" w:rsidRPr="7A7A869F">
        <w:rPr>
          <w:lang w:val="en-GB"/>
        </w:rPr>
        <w:t xml:space="preserve">Law of Ukraine No. </w:t>
      </w:r>
      <w:r w:rsidR="008D2293" w:rsidRPr="7A7A869F">
        <w:rPr>
          <w:rStyle w:val="rvts44"/>
          <w:lang w:val="en-GB"/>
        </w:rPr>
        <w:t>2531-VIII entered into force on 1 January 2019 as expressly stated therein.</w:t>
      </w:r>
      <w:r w:rsidR="00943B8D" w:rsidRPr="7A7A869F">
        <w:rPr>
          <w:rStyle w:val="af6"/>
          <w:lang w:val="en-GB"/>
        </w:rPr>
        <w:footnoteReference w:id="107"/>
      </w:r>
      <w:r w:rsidR="00A66BAC" w:rsidRPr="7A7A869F">
        <w:rPr>
          <w:lang w:val="en-GB"/>
        </w:rPr>
        <w:t xml:space="preserve"> </w:t>
      </w:r>
    </w:p>
    <w:p w14:paraId="645F6660" w14:textId="75041F64" w:rsidR="005652E7" w:rsidRPr="001D74A6" w:rsidRDefault="00A66BAC" w:rsidP="00680FAA">
      <w:pPr>
        <w:pStyle w:val="a3"/>
        <w:numPr>
          <w:ilvl w:val="0"/>
          <w:numId w:val="19"/>
        </w:numPr>
        <w:spacing w:after="120" w:line="360" w:lineRule="auto"/>
        <w:rPr>
          <w:rFonts w:eastAsiaTheme="minorEastAsia"/>
          <w:lang w:val="en-GB"/>
        </w:rPr>
      </w:pPr>
      <w:r w:rsidRPr="7A7A869F">
        <w:rPr>
          <w:lang w:val="en-GB"/>
        </w:rPr>
        <w:t>Moreover</w:t>
      </w:r>
      <w:r w:rsidR="00482314" w:rsidRPr="7A7A869F">
        <w:rPr>
          <w:lang w:val="en-GB"/>
        </w:rPr>
        <w:t>,</w:t>
      </w:r>
      <w:r w:rsidRPr="7A7A869F">
        <w:rPr>
          <w:lang w:val="en-GB"/>
        </w:rPr>
        <w:t xml:space="preserve"> Ukraine was and is in need to focus on issuing emergency laws and regulations to respond to the situation of “emergency in international relations” that currently exists in its territory, other regulatory or legislative initiatives will experience significant delays. This is the case because, since 2014, Ukraine has had to prioritize exceptional and urgent legislative actions aimed at maintaining law and public order within its territory, protecting human rights and modernizing the army, which has caused other legislative initiatives to experience significant delays.</w:t>
      </w:r>
    </w:p>
    <w:p w14:paraId="41E98284" w14:textId="5DED75E4" w:rsidR="00E31BCE" w:rsidRPr="003F63A1" w:rsidRDefault="00E31BCE" w:rsidP="00D2454E">
      <w:pPr>
        <w:pStyle w:val="2"/>
        <w:rPr>
          <w:rFonts w:cs="Times New Roman"/>
          <w:lang w:val="en-GB"/>
        </w:rPr>
      </w:pPr>
      <w:bookmarkStart w:id="92" w:name="_Toc52886600"/>
      <w:bookmarkStart w:id="93" w:name="_Toc52896905"/>
      <w:r w:rsidRPr="003F63A1">
        <w:rPr>
          <w:rFonts w:cs="Times New Roman"/>
          <w:lang w:val="en-GB"/>
        </w:rPr>
        <w:lastRenderedPageBreak/>
        <w:t>Question 23</w:t>
      </w:r>
      <w:r w:rsidR="00D2454E" w:rsidRPr="003F63A1">
        <w:rPr>
          <w:rFonts w:cs="Times New Roman"/>
          <w:lang w:val="en-GB"/>
        </w:rPr>
        <w:t xml:space="preserve"> – Whether Ukraine has notified the WTO about the “2015 temporary export ban”</w:t>
      </w:r>
      <w:bookmarkEnd w:id="92"/>
      <w:bookmarkEnd w:id="93"/>
    </w:p>
    <w:p w14:paraId="65F0354C" w14:textId="77777777" w:rsidR="00AD5827" w:rsidRPr="003F63A1" w:rsidRDefault="00E31BCE" w:rsidP="00E31BCE">
      <w:pPr>
        <w:spacing w:after="120"/>
        <w:jc w:val="both"/>
        <w:rPr>
          <w:sz w:val="26"/>
          <w:szCs w:val="26"/>
          <w:lang w:val="en-GB"/>
        </w:rPr>
      </w:pPr>
      <w:r w:rsidRPr="003F63A1">
        <w:rPr>
          <w:rStyle w:val="st"/>
          <w:b/>
          <w:bCs/>
          <w:sz w:val="26"/>
          <w:szCs w:val="26"/>
          <w:lang w:val="en-GB"/>
        </w:rPr>
        <w:t>MS Natalia MUSHAK</w:t>
      </w:r>
      <w:r w:rsidRPr="003F63A1">
        <w:rPr>
          <w:rStyle w:val="st"/>
          <w:sz w:val="26"/>
          <w:szCs w:val="26"/>
          <w:lang w:val="en-GB"/>
        </w:rPr>
        <w:t xml:space="preserve">: </w:t>
      </w:r>
      <w:r w:rsidRPr="003F63A1">
        <w:rPr>
          <w:sz w:val="26"/>
          <w:szCs w:val="26"/>
          <w:lang w:val="en-GB"/>
        </w:rPr>
        <w:t>“</w:t>
      </w:r>
      <w:r w:rsidR="00AD5827" w:rsidRPr="003F63A1">
        <w:rPr>
          <w:sz w:val="26"/>
          <w:szCs w:val="26"/>
          <w:lang w:val="en-GB"/>
        </w:rPr>
        <w:t>The second question to the Ukrainian delegation. Did Ukraine notify its export prohibition in 2015 to the WTO in accordance with the decision on notification of procedure for quantitative restrictions dated 3</w:t>
      </w:r>
      <w:r w:rsidR="00AD5827" w:rsidRPr="003F63A1">
        <w:rPr>
          <w:sz w:val="26"/>
          <w:szCs w:val="26"/>
          <w:vertAlign w:val="superscript"/>
          <w:lang w:val="en-GB"/>
        </w:rPr>
        <w:t>rd</w:t>
      </w:r>
      <w:r w:rsidR="00AD5827" w:rsidRPr="003F63A1">
        <w:rPr>
          <w:sz w:val="26"/>
          <w:szCs w:val="26"/>
          <w:lang w:val="en-GB"/>
        </w:rPr>
        <w:t xml:space="preserve"> of July 2012?</w:t>
      </w:r>
    </w:p>
    <w:p w14:paraId="3640D187" w14:textId="391762F4" w:rsidR="00E31BCE" w:rsidRPr="003F63A1" w:rsidRDefault="00AD5827" w:rsidP="00E31BCE">
      <w:pPr>
        <w:spacing w:after="120"/>
        <w:jc w:val="both"/>
        <w:rPr>
          <w:sz w:val="26"/>
          <w:szCs w:val="26"/>
          <w:lang w:val="en-GB"/>
        </w:rPr>
      </w:pPr>
      <w:r w:rsidRPr="003F63A1">
        <w:rPr>
          <w:sz w:val="26"/>
          <w:szCs w:val="26"/>
          <w:lang w:val="en-GB"/>
        </w:rPr>
        <w:t>[…]</w:t>
      </w:r>
      <w:r w:rsidR="00B109CD" w:rsidRPr="003F63A1">
        <w:rPr>
          <w:sz w:val="26"/>
          <w:szCs w:val="26"/>
          <w:lang w:val="en-GB"/>
        </w:rPr>
        <w:t xml:space="preserve"> </w:t>
      </w:r>
    </w:p>
    <w:p w14:paraId="685516B6" w14:textId="4828545B" w:rsidR="00AD5827" w:rsidRPr="003F63A1" w:rsidRDefault="00AD5827" w:rsidP="00E31BCE">
      <w:pPr>
        <w:spacing w:after="120"/>
        <w:jc w:val="both"/>
        <w:rPr>
          <w:sz w:val="26"/>
          <w:szCs w:val="26"/>
          <w:lang w:val="en-GB"/>
        </w:rPr>
      </w:pPr>
      <w:r w:rsidRPr="003F63A1">
        <w:rPr>
          <w:sz w:val="26"/>
          <w:szCs w:val="26"/>
          <w:lang w:val="en-GB"/>
        </w:rPr>
        <w:t>I would like to clarify, what does it mean that it was noticed to the WTO, so I mean that</w:t>
      </w:r>
      <w:r w:rsidR="005A1038" w:rsidRPr="003F63A1">
        <w:rPr>
          <w:sz w:val="26"/>
          <w:szCs w:val="26"/>
          <w:lang w:val="en-GB"/>
        </w:rPr>
        <w:t xml:space="preserve">, for </w:t>
      </w:r>
      <w:r w:rsidR="00195C00" w:rsidRPr="003F63A1">
        <w:rPr>
          <w:sz w:val="26"/>
          <w:szCs w:val="26"/>
          <w:lang w:val="en-GB"/>
        </w:rPr>
        <w:t xml:space="preserve">example, </w:t>
      </w:r>
      <w:r w:rsidR="005A1038" w:rsidRPr="003F63A1">
        <w:rPr>
          <w:sz w:val="26"/>
          <w:szCs w:val="26"/>
          <w:lang w:val="en-GB"/>
        </w:rPr>
        <w:t xml:space="preserve">general description </w:t>
      </w:r>
      <w:r w:rsidR="00195C00" w:rsidRPr="003F63A1">
        <w:rPr>
          <w:sz w:val="26"/>
          <w:szCs w:val="26"/>
          <w:lang w:val="en-GB"/>
        </w:rPr>
        <w:t xml:space="preserve">of the </w:t>
      </w:r>
      <w:r w:rsidRPr="003F63A1">
        <w:rPr>
          <w:sz w:val="26"/>
          <w:szCs w:val="26"/>
          <w:lang w:val="en-GB"/>
        </w:rPr>
        <w:t>restriction, type of the restriction, tariff line, code, detailed product descriptions, all the statements, were they covered by the notification to the WTO?”</w:t>
      </w:r>
    </w:p>
    <w:p w14:paraId="00F44CDD" w14:textId="2F47A56F" w:rsidR="00B5064E" w:rsidRPr="003F63A1" w:rsidRDefault="00F6104C" w:rsidP="00E31BCE">
      <w:pPr>
        <w:pStyle w:val="a3"/>
        <w:numPr>
          <w:ilvl w:val="0"/>
          <w:numId w:val="19"/>
        </w:numPr>
        <w:spacing w:after="120" w:line="360" w:lineRule="auto"/>
        <w:rPr>
          <w:lang w:val="en-GB"/>
        </w:rPr>
      </w:pPr>
      <w:r w:rsidRPr="7A7A869F">
        <w:rPr>
          <w:lang w:val="en-GB"/>
        </w:rPr>
        <w:t xml:space="preserve">At the hearings, Ukraine already provided the answer </w:t>
      </w:r>
      <w:r w:rsidR="00B5064E" w:rsidRPr="7A7A869F">
        <w:rPr>
          <w:lang w:val="en-GB"/>
        </w:rPr>
        <w:t>to the fi</w:t>
      </w:r>
      <w:r w:rsidR="009B3F17" w:rsidRPr="7A7A869F">
        <w:rPr>
          <w:lang w:val="en-GB"/>
        </w:rPr>
        <w:t>rst</w:t>
      </w:r>
      <w:r w:rsidR="00B5064E" w:rsidRPr="7A7A869F">
        <w:rPr>
          <w:lang w:val="en-GB"/>
        </w:rPr>
        <w:t xml:space="preserve"> question</w:t>
      </w:r>
      <w:r w:rsidR="009B3F17" w:rsidRPr="7A7A869F">
        <w:rPr>
          <w:lang w:val="en-GB"/>
        </w:rPr>
        <w:t xml:space="preserve"> by referring to paragraph 309 of its Written Submission where it is submitted that “[t]he “2015 temporary export ban” was also notified to the WTO”.</w:t>
      </w:r>
    </w:p>
    <w:p w14:paraId="3D2ADE5B" w14:textId="5ED0B807" w:rsidR="000F51CA" w:rsidRPr="003F63A1" w:rsidRDefault="00EA3545" w:rsidP="00254875">
      <w:pPr>
        <w:pStyle w:val="a3"/>
        <w:numPr>
          <w:ilvl w:val="0"/>
          <w:numId w:val="19"/>
        </w:numPr>
        <w:spacing w:after="120" w:line="360" w:lineRule="auto"/>
        <w:rPr>
          <w:lang w:val="en-GB"/>
        </w:rPr>
      </w:pPr>
      <w:r w:rsidRPr="7A7A869F">
        <w:rPr>
          <w:lang w:val="en-GB"/>
        </w:rPr>
        <w:t xml:space="preserve">Pursuant to </w:t>
      </w:r>
      <w:r w:rsidR="00CB1A52" w:rsidRPr="7A7A869F">
        <w:rPr>
          <w:lang w:val="en-GB"/>
        </w:rPr>
        <w:t xml:space="preserve">the Decision on Notification Procedures for Quantitative Restrictions </w:t>
      </w:r>
      <w:r w:rsidR="00642864" w:rsidRPr="7A7A869F">
        <w:rPr>
          <w:lang w:val="en-GB"/>
        </w:rPr>
        <w:t>“Members shall make complete notifications of all quantitative restrictions in force by 30 September 2012 and at two yearly intervals thereafter</w:t>
      </w:r>
      <w:r w:rsidR="000F51CA" w:rsidRPr="7A7A869F">
        <w:rPr>
          <w:lang w:val="en-GB"/>
        </w:rPr>
        <w:t>”</w:t>
      </w:r>
      <w:r w:rsidR="00642864" w:rsidRPr="7A7A869F">
        <w:rPr>
          <w:rStyle w:val="af6"/>
          <w:lang w:val="en-GB"/>
        </w:rPr>
        <w:footnoteReference w:id="108"/>
      </w:r>
      <w:r w:rsidR="000F51CA" w:rsidRPr="7A7A869F">
        <w:rPr>
          <w:lang w:val="en-GB"/>
        </w:rPr>
        <w:t xml:space="preserve"> and “prepare their notifications in accordance with the format in Annex 1 and provide </w:t>
      </w:r>
      <w:r w:rsidR="00B27FE8" w:rsidRPr="7A7A869F">
        <w:rPr>
          <w:lang w:val="en-GB"/>
        </w:rPr>
        <w:t xml:space="preserve">[…] </w:t>
      </w:r>
      <w:r w:rsidR="000F51CA" w:rsidRPr="7A7A869F">
        <w:rPr>
          <w:lang w:val="en-GB"/>
        </w:rPr>
        <w:t>information for each restriction in force”</w:t>
      </w:r>
      <w:r w:rsidR="00B27FE8" w:rsidRPr="7A7A869F">
        <w:rPr>
          <w:rStyle w:val="af6"/>
          <w:lang w:val="en-GB"/>
        </w:rPr>
        <w:footnoteReference w:id="109"/>
      </w:r>
      <w:r w:rsidR="00D439C1" w:rsidRPr="7A7A869F">
        <w:rPr>
          <w:lang w:val="en-GB"/>
        </w:rPr>
        <w:t xml:space="preserve"> </w:t>
      </w:r>
      <w:r w:rsidR="0070520A" w:rsidRPr="7A7A869F">
        <w:rPr>
          <w:lang w:val="en-GB"/>
        </w:rPr>
        <w:t xml:space="preserve">as per the list set out </w:t>
      </w:r>
      <w:r w:rsidR="00D439C1" w:rsidRPr="7A7A869F">
        <w:rPr>
          <w:lang w:val="en-GB"/>
        </w:rPr>
        <w:t>in sub-paragraphs 2(i)-(</w:t>
      </w:r>
      <w:r w:rsidR="00B059E4" w:rsidRPr="7A7A869F">
        <w:rPr>
          <w:lang w:val="en-GB"/>
        </w:rPr>
        <w:t>v</w:t>
      </w:r>
      <w:r w:rsidR="00D439C1" w:rsidRPr="7A7A869F">
        <w:rPr>
          <w:lang w:val="en-GB"/>
        </w:rPr>
        <w:t>ii) of that decision.</w:t>
      </w:r>
    </w:p>
    <w:p w14:paraId="2BFB90C1" w14:textId="791C4F9A" w:rsidR="00585B30" w:rsidRPr="003F63A1" w:rsidRDefault="7A7A869F" w:rsidP="00E32A20">
      <w:pPr>
        <w:pStyle w:val="a3"/>
        <w:numPr>
          <w:ilvl w:val="0"/>
          <w:numId w:val="19"/>
        </w:numPr>
        <w:spacing w:after="120" w:line="360" w:lineRule="auto"/>
        <w:rPr>
          <w:lang w:val="en-GB"/>
        </w:rPr>
      </w:pPr>
      <w:r w:rsidRPr="7A7A869F">
        <w:rPr>
          <w:lang w:val="en-GB"/>
        </w:rPr>
        <w:t>Ukraine has duly notified about the “2015 temporary export ban” by its notifications dated 16 September 2015 (</w:t>
      </w:r>
      <w:hyperlink r:id="rId24">
        <w:r w:rsidRPr="7A7A869F">
          <w:rPr>
            <w:rStyle w:val="af2"/>
            <w:lang w:val="en-GB"/>
          </w:rPr>
          <w:t>G/MA/QR/N/UKR/2</w:t>
        </w:r>
      </w:hyperlink>
      <w:r w:rsidRPr="7A7A869F">
        <w:rPr>
          <w:lang w:val="en-GB"/>
        </w:rPr>
        <w:t>) and 11 March 2019 (</w:t>
      </w:r>
      <w:hyperlink r:id="rId25">
        <w:r w:rsidRPr="7A7A869F">
          <w:rPr>
            <w:rStyle w:val="af2"/>
            <w:lang w:val="en-GB"/>
          </w:rPr>
          <w:t>G/MA/QR/N/UKR/4/Add.1</w:t>
        </w:r>
      </w:hyperlink>
      <w:r w:rsidRPr="7A7A869F">
        <w:rPr>
          <w:lang w:val="en-GB"/>
        </w:rPr>
        <w:t>).</w:t>
      </w:r>
    </w:p>
    <w:sectPr w:rsidR="00585B30" w:rsidRPr="003F63A1" w:rsidSect="00131288">
      <w:pgSz w:w="11906" w:h="16838"/>
      <w:pgMar w:top="1417" w:right="1417" w:bottom="1134"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5E4D9" w16cex:dateUtc="2020-10-05T15:30:00Z"/>
  <w16cex:commentExtensible w16cex:durableId="2325E2FF" w16cex:dateUtc="2020-10-05T15:22:00Z"/>
  <w16cex:commentExtensible w16cex:durableId="2325E877" w16cex:dateUtc="2020-10-05T15:46:00Z"/>
  <w16cex:commentExtensible w16cex:durableId="2325E99B" w16cex:dateUtc="2020-10-05T15:51:00Z"/>
  <w16cex:commentExtensible w16cex:durableId="23245956" w16cex:dateUtc="2020-10-04T11:23:00Z"/>
  <w16cex:commentExtensible w16cex:durableId="2325E9F4" w16cex:dateUtc="2020-10-05T15:52:00Z"/>
  <w16cex:commentExtensible w16cex:durableId="232601FA" w16cex:dateUtc="2020-10-05T17:35:00Z"/>
  <w16cex:commentExtensible w16cex:durableId="23249A36" w16cex:dateUtc="2020-10-04T16:00:00Z"/>
  <w16cex:commentExtensible w16cex:durableId="23249B57" w16cex:dateUtc="2020-10-04T16:04:00Z"/>
  <w16cex:commentExtensible w16cex:durableId="2325EE36" w16cex:dateUtc="2020-10-05T16:10:00Z"/>
  <w16cex:commentExtensible w16cex:durableId="2325EF39" w16cex:dateUtc="2020-10-05T16:15:00Z"/>
  <w16cex:commentExtensible w16cex:durableId="2325F17A" w16cex:dateUtc="2020-10-05T16:24:00Z"/>
  <w16cex:commentExtensible w16cex:durableId="2324B9A6" w16cex:dateUtc="2020-10-04T18:14:00Z"/>
  <w16cex:commentExtensible w16cex:durableId="2325DF23" w16cex:dateUtc="2020-10-05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C431906" w16cid:durableId="2325E4D9"/>
  <w16cid:commentId w16cid:paraId="03C3FAED" w16cid:durableId="2325E2FF"/>
  <w16cid:commentId w16cid:paraId="7DE704C0" w16cid:durableId="2325DCA8"/>
  <w16cid:commentId w16cid:paraId="49ADCE4C" w16cid:durableId="2325E877"/>
  <w16cid:commentId w16cid:paraId="1FFC8B7B" w16cid:durableId="2325DCA9"/>
  <w16cid:commentId w16cid:paraId="52FF30E8" w16cid:durableId="2325E99B"/>
  <w16cid:commentId w16cid:paraId="531566B6" w16cid:durableId="23245956"/>
  <w16cid:commentId w16cid:paraId="5107FC6F" w16cid:durableId="2325E9F4"/>
  <w16cid:commentId w16cid:paraId="792109F0" w16cid:durableId="232601FA"/>
  <w16cid:commentId w16cid:paraId="4700E87D" w16cid:durableId="23249A36"/>
  <w16cid:commentId w16cid:paraId="1059D8CE" w16cid:durableId="2324304B"/>
  <w16cid:commentId w16cid:paraId="44E2968F" w16cid:durableId="23249B57"/>
  <w16cid:commentId w16cid:paraId="344F7E7C" w16cid:durableId="2325EE36"/>
  <w16cid:commentId w16cid:paraId="323574D6" w16cid:durableId="2325EF39"/>
  <w16cid:commentId w16cid:paraId="6DEB0415" w16cid:durableId="2325DCAE"/>
  <w16cid:commentId w16cid:paraId="7DDCF2B3" w16cid:durableId="2325F17A"/>
  <w16cid:commentId w16cid:paraId="02745EEB" w16cid:durableId="2324B9A6"/>
  <w16cid:commentId w16cid:paraId="1B853668" w16cid:durableId="2325DF23"/>
  <w16cid:commentId w16cid:paraId="2CCBDB74" w16cid:durableId="2325DCB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7C88F" w14:textId="77777777" w:rsidR="004D3C1E" w:rsidRDefault="004D3C1E" w:rsidP="00C42A92">
      <w:r>
        <w:separator/>
      </w:r>
    </w:p>
  </w:endnote>
  <w:endnote w:type="continuationSeparator" w:id="0">
    <w:p w14:paraId="0AC66178" w14:textId="77777777" w:rsidR="004D3C1E" w:rsidRDefault="004D3C1E" w:rsidP="00C42A92">
      <w:r>
        <w:continuationSeparator/>
      </w:r>
    </w:p>
  </w:endnote>
  <w:endnote w:type="continuationNotice" w:id="1">
    <w:p w14:paraId="50823E33" w14:textId="77777777" w:rsidR="004D3C1E" w:rsidRDefault="004D3C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NewRomanPS">
    <w:altName w:val="Times New Roman"/>
    <w:charset w:val="00"/>
    <w:family w:val="roman"/>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DengXian Light">
    <w:charset w:val="88"/>
    <w:family w:val="auto"/>
    <w:pitch w:val="variable"/>
    <w:sig w:usb0="A10102FF" w:usb1="38CF7CFA" w:usb2="00010016" w:usb3="00000000" w:csb0="0014000F" w:csb1="00000000"/>
  </w:font>
  <w:font w:name="Arial">
    <w:panose1 w:val="020B0604020202020204"/>
    <w:charset w:val="CC"/>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sig w:usb0="00000003" w:usb1="00000000" w:usb2="00000000" w:usb3="00000000" w:csb0="00000001" w:csb1="00000000"/>
  </w:font>
  <w:font w:name="DengXian">
    <w:altName w:val="等线"/>
    <w:panose1 w:val="02010600030101010101"/>
    <w:charset w:val="88"/>
    <w:family w:val="auto"/>
    <w:pitch w:val="variable"/>
    <w:sig w:usb0="A10102FF" w:usb1="38CF7CFA" w:usb2="00010016" w:usb3="00000000" w:csb0="0014000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a"/>
      </w:rPr>
      <w:id w:val="-1566023983"/>
      <w:docPartObj>
        <w:docPartGallery w:val="Page Numbers (Bottom of Page)"/>
        <w:docPartUnique/>
      </w:docPartObj>
    </w:sdtPr>
    <w:sdtEndPr>
      <w:rPr>
        <w:rStyle w:val="afa"/>
      </w:rPr>
    </w:sdtEndPr>
    <w:sdtContent>
      <w:p w14:paraId="240B13EA" w14:textId="3B0531CE" w:rsidR="0075428B" w:rsidRDefault="0075428B" w:rsidP="00612959">
        <w:pPr>
          <w:pStyle w:val="a7"/>
          <w:framePr w:wrap="none" w:vAnchor="text" w:hAnchor="margin" w:xAlign="center" w:y="1"/>
          <w:rPr>
            <w:rStyle w:val="afa"/>
          </w:rPr>
        </w:pPr>
        <w:r>
          <w:rPr>
            <w:rStyle w:val="afa"/>
          </w:rPr>
          <w:fldChar w:fldCharType="begin"/>
        </w:r>
        <w:r>
          <w:rPr>
            <w:rStyle w:val="afa"/>
          </w:rPr>
          <w:instrText xml:space="preserve"> PAGE </w:instrText>
        </w:r>
        <w:r>
          <w:rPr>
            <w:rStyle w:val="afa"/>
          </w:rPr>
          <w:fldChar w:fldCharType="end"/>
        </w:r>
      </w:p>
    </w:sdtContent>
  </w:sdt>
  <w:p w14:paraId="23594133" w14:textId="77777777" w:rsidR="0075428B" w:rsidRDefault="0075428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111448"/>
      <w:docPartObj>
        <w:docPartGallery w:val="Page Numbers (Bottom of Page)"/>
        <w:docPartUnique/>
      </w:docPartObj>
    </w:sdtPr>
    <w:sdtEndPr>
      <w:rPr>
        <w:noProof/>
      </w:rPr>
    </w:sdtEndPr>
    <w:sdtContent>
      <w:p w14:paraId="449B164C" w14:textId="49EE782F" w:rsidR="0075428B" w:rsidRDefault="0075428B">
        <w:pPr>
          <w:pStyle w:val="a7"/>
          <w:jc w:val="center"/>
        </w:pPr>
        <w:r>
          <w:fldChar w:fldCharType="begin"/>
        </w:r>
        <w:r>
          <w:instrText xml:space="preserve"> PAGE   \* MERGEFORMAT </w:instrText>
        </w:r>
        <w:r>
          <w:fldChar w:fldCharType="separate"/>
        </w:r>
        <w:r w:rsidR="008F1FE8">
          <w:rPr>
            <w:noProof/>
          </w:rPr>
          <w:t>3</w:t>
        </w:r>
        <w:r>
          <w:rPr>
            <w:noProof/>
          </w:rPr>
          <w:fldChar w:fldCharType="end"/>
        </w:r>
      </w:p>
    </w:sdtContent>
  </w:sdt>
  <w:p w14:paraId="1C864E0B" w14:textId="77777777" w:rsidR="0075428B" w:rsidRDefault="0075428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E7F76" w14:textId="77777777" w:rsidR="0075428B" w:rsidRDefault="0075428B" w:rsidP="00AD37AE">
    <w:pPr>
      <w:pStyle w:val="a7"/>
      <w:framePr w:wrap="none" w:vAnchor="text" w:hAnchor="margin" w:xAlign="center" w:y="1"/>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717403"/>
      <w:docPartObj>
        <w:docPartGallery w:val="Page Numbers (Bottom of Page)"/>
        <w:docPartUnique/>
      </w:docPartObj>
    </w:sdtPr>
    <w:sdtEndPr/>
    <w:sdtContent>
      <w:p w14:paraId="46245368" w14:textId="0B582DA4" w:rsidR="0075428B" w:rsidRDefault="0075428B" w:rsidP="00921E52">
        <w:pPr>
          <w:pStyle w:val="a7"/>
          <w:framePr w:wrap="none" w:vAnchor="text" w:hAnchor="margin" w:xAlign="center" w:y="1"/>
          <w:jc w:val="center"/>
        </w:pPr>
        <w:r>
          <w:fldChar w:fldCharType="begin"/>
        </w:r>
        <w:r>
          <w:instrText>PAGE   \* MERGEFORMAT</w:instrText>
        </w:r>
        <w:r>
          <w:fldChar w:fldCharType="separate"/>
        </w:r>
        <w:r w:rsidR="008F1FE8" w:rsidRPr="008F1FE8">
          <w:rPr>
            <w:noProof/>
            <w:lang w:val="uk-UA"/>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95A7B" w14:textId="77777777" w:rsidR="004D3C1E" w:rsidRDefault="004D3C1E" w:rsidP="00C42A92">
      <w:r>
        <w:separator/>
      </w:r>
    </w:p>
  </w:footnote>
  <w:footnote w:type="continuationSeparator" w:id="0">
    <w:p w14:paraId="214A2C66" w14:textId="77777777" w:rsidR="004D3C1E" w:rsidRDefault="004D3C1E" w:rsidP="00C42A92">
      <w:r>
        <w:continuationSeparator/>
      </w:r>
    </w:p>
  </w:footnote>
  <w:footnote w:type="continuationNotice" w:id="1">
    <w:p w14:paraId="591840CA" w14:textId="77777777" w:rsidR="004D3C1E" w:rsidRDefault="004D3C1E"/>
  </w:footnote>
  <w:footnote w:id="2">
    <w:p w14:paraId="2C197150" w14:textId="58BD9241" w:rsidR="0075428B" w:rsidRPr="00AE3AE3" w:rsidRDefault="0075428B" w:rsidP="00075E4E">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e.g. </w:t>
      </w:r>
      <w:r w:rsidRPr="00AE3AE3">
        <w:rPr>
          <w:rFonts w:ascii="TimesNewRomanPS" w:hAnsi="TimesNewRomanPS"/>
          <w:i/>
        </w:rPr>
        <w:t>East Timor (Portugal v. Australia), Judgment, ICJ Reports 1995</w:t>
      </w:r>
      <w:r w:rsidRPr="00AE3AE3">
        <w:rPr>
          <w:rFonts w:ascii="TimesNewRomanPS" w:hAnsi="TimesNewRomanPS"/>
        </w:rPr>
        <w:t xml:space="preserve">, p. 90. In this case, Australia elected to raise a jurisdictional issue (namely, the “Monetary Gold Exception”) in the course of the procedure on the merits. After hearing the full case, the ICJ rules by fourteen votes to two that it could not exercise its jurisdiction in the case. </w:t>
      </w:r>
    </w:p>
  </w:footnote>
  <w:footnote w:id="3">
    <w:p w14:paraId="5A4EA75D" w14:textId="539076C3" w:rsidR="0075428B" w:rsidRPr="00AE3AE3" w:rsidRDefault="0075428B" w:rsidP="00E1796B">
      <w:pPr>
        <w:pStyle w:val="af3"/>
        <w:spacing w:before="0" w:beforeAutospacing="0" w:after="0" w:afterAutospacing="0"/>
        <w:jc w:val="both"/>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w:t>
      </w:r>
      <w:r w:rsidRPr="00AE3AE3">
        <w:rPr>
          <w:rFonts w:ascii="TimesNewRomanPS" w:hAnsi="TimesNewRomanPS"/>
          <w:i/>
          <w:sz w:val="20"/>
          <w:szCs w:val="20"/>
          <w:lang w:val="en-GB"/>
        </w:rPr>
        <w:t>Certain Iranian Assets (Islamic Republic of Iran v. United States of America)</w:t>
      </w:r>
      <w:r w:rsidRPr="00AE3AE3">
        <w:rPr>
          <w:rFonts w:ascii="TimesNewRomanPS" w:hAnsi="TimesNewRomanPS"/>
          <w:sz w:val="20"/>
          <w:szCs w:val="20"/>
          <w:lang w:val="en-GB"/>
        </w:rPr>
        <w:t>, Preliminary Objections, Judgment, I.C.J. Reports 2019, p. 7.</w:t>
      </w:r>
    </w:p>
  </w:footnote>
  <w:footnote w:id="4">
    <w:p w14:paraId="5554EBBB" w14:textId="20E79506" w:rsidR="0075428B" w:rsidRPr="00AE3AE3" w:rsidRDefault="0075428B" w:rsidP="00E1796B">
      <w:pPr>
        <w:pStyle w:val="af3"/>
        <w:spacing w:before="0" w:beforeAutospacing="0" w:after="0" w:afterAutospacing="0"/>
        <w:jc w:val="both"/>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On the contrary, see the Appellate Body’s explanation in </w:t>
      </w:r>
      <w:r w:rsidRPr="00AE3AE3">
        <w:rPr>
          <w:rFonts w:ascii="TimesNewRomanPS" w:hAnsi="TimesNewRomanPS"/>
          <w:i/>
          <w:sz w:val="20"/>
          <w:szCs w:val="20"/>
          <w:lang w:val="en-GB"/>
        </w:rPr>
        <w:t>EC – Fasteners (China),</w:t>
      </w:r>
      <w:r w:rsidRPr="00AE3AE3">
        <w:rPr>
          <w:rFonts w:ascii="TimesNewRomanPS" w:hAnsi="TimesNewRomanPS"/>
          <w:sz w:val="20"/>
          <w:szCs w:val="20"/>
          <w:lang w:val="en-GB"/>
        </w:rPr>
        <w:t xml:space="preserve"> according to which such rule does not operate in the context of the WTO: “a party's failure to raise a timely jurisdictional objection cannot operate to cure such a jurisdictional defect” (Appellate Body Report, </w:t>
      </w:r>
      <w:r w:rsidRPr="00AE3AE3">
        <w:rPr>
          <w:rFonts w:ascii="TimesNewRomanPS" w:hAnsi="TimesNewRomanPS"/>
          <w:i/>
          <w:sz w:val="20"/>
          <w:szCs w:val="20"/>
          <w:lang w:val="en-GB"/>
        </w:rPr>
        <w:t>EC – Fasteners (China)</w:t>
      </w:r>
      <w:r w:rsidRPr="00AE3AE3">
        <w:rPr>
          <w:rFonts w:ascii="TimesNewRomanPS" w:hAnsi="TimesNewRomanPS"/>
          <w:sz w:val="20"/>
          <w:szCs w:val="20"/>
          <w:lang w:val="en-GB"/>
        </w:rPr>
        <w:t>, DS397, para.</w:t>
      </w:r>
      <w:r>
        <w:rPr>
          <w:sz w:val="20"/>
          <w:szCs w:val="20"/>
          <w:lang w:val="en-GB"/>
        </w:rPr>
        <w:t> </w:t>
      </w:r>
      <w:r w:rsidRPr="00AE3AE3">
        <w:rPr>
          <w:rFonts w:ascii="TimesNewRomanPS" w:hAnsi="TimesNewRomanPS"/>
          <w:sz w:val="20"/>
          <w:szCs w:val="20"/>
          <w:lang w:val="en-GB"/>
        </w:rPr>
        <w:t>561).</w:t>
      </w:r>
    </w:p>
  </w:footnote>
  <w:footnote w:id="5">
    <w:p w14:paraId="7492C77B" w14:textId="77777777" w:rsidR="0075428B" w:rsidRPr="00AE3AE3" w:rsidRDefault="0075428B" w:rsidP="00ED285C">
      <w:pPr>
        <w:pStyle w:val="af3"/>
        <w:spacing w:before="0" w:beforeAutospacing="0" w:after="0" w:afterAutospacing="0"/>
        <w:jc w:val="both"/>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w:t>
      </w:r>
      <w:r w:rsidRPr="00AE3AE3">
        <w:rPr>
          <w:rFonts w:ascii="TimesNewRomanPS" w:hAnsi="TimesNewRomanPS"/>
          <w:i/>
          <w:sz w:val="20"/>
          <w:szCs w:val="20"/>
          <w:lang w:val="en-GB"/>
        </w:rPr>
        <w:t xml:space="preserve">AIG </w:t>
      </w:r>
      <w:r w:rsidRPr="00AE3AE3">
        <w:rPr>
          <w:rFonts w:ascii="TimesNewRomanPS" w:hAnsi="TimesNewRomanPS"/>
          <w:sz w:val="20"/>
          <w:szCs w:val="20"/>
          <w:lang w:val="en-GB"/>
        </w:rPr>
        <w:t>v</w:t>
      </w:r>
      <w:r w:rsidRPr="00AE3AE3">
        <w:rPr>
          <w:rFonts w:ascii="TimesNewRomanPS" w:hAnsi="TimesNewRomanPS"/>
          <w:i/>
          <w:sz w:val="20"/>
          <w:szCs w:val="20"/>
          <w:lang w:val="en-GB"/>
        </w:rPr>
        <w:t xml:space="preserve">. Kazakhstan, </w:t>
      </w:r>
      <w:r w:rsidRPr="00AE3AE3">
        <w:rPr>
          <w:rFonts w:ascii="TimesNewRomanPS" w:hAnsi="TimesNewRomanPS"/>
          <w:sz w:val="20"/>
          <w:szCs w:val="20"/>
          <w:lang w:val="en-GB"/>
        </w:rPr>
        <w:t>Award, 7 October 2003, 11 ICSID Reports 7, paras. 9.1, 9.2.</w:t>
      </w:r>
    </w:p>
  </w:footnote>
  <w:footnote w:id="6">
    <w:p w14:paraId="4CB5D51C" w14:textId="0603DE03" w:rsidR="0075428B" w:rsidRPr="00AE3AE3" w:rsidRDefault="0075428B" w:rsidP="00007265">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The Rules of Procedure for Arbitration Proceedings (the Arbitration Rules) of ICSID, Rule 41(1).</w:t>
      </w:r>
    </w:p>
  </w:footnote>
  <w:footnote w:id="7">
    <w:p w14:paraId="3C7B7AE1" w14:textId="576EE33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Appellate Body Report, </w:t>
      </w:r>
      <w:r w:rsidRPr="00AE3AE3">
        <w:rPr>
          <w:rFonts w:ascii="TimesNewRomanPS" w:hAnsi="TimesNewRomanPS"/>
          <w:i/>
        </w:rPr>
        <w:t>United States – Anti-Dumping Act of 1916</w:t>
      </w:r>
      <w:r w:rsidRPr="00AE3AE3">
        <w:rPr>
          <w:rFonts w:ascii="TimesNewRomanPS" w:hAnsi="TimesNewRomanPS"/>
        </w:rPr>
        <w:t>, DS136, pa</w:t>
      </w:r>
      <w:r w:rsidR="008F1FE8">
        <w:rPr>
          <w:rFonts w:ascii="TimesNewRomanPS" w:hAnsi="TimesNewRomanPS"/>
        </w:rPr>
        <w:t>ra. 54</w:t>
      </w:r>
      <w:bookmarkStart w:id="20" w:name="_GoBack"/>
      <w:bookmarkEnd w:id="20"/>
      <w:r w:rsidRPr="00AE3AE3">
        <w:rPr>
          <w:rFonts w:ascii="TimesNewRomanPS" w:hAnsi="TimesNewRomanPS"/>
        </w:rPr>
        <w:t>.</w:t>
      </w:r>
    </w:p>
  </w:footnote>
  <w:footnote w:id="8">
    <w:p w14:paraId="7E1444E9" w14:textId="77777777" w:rsidR="0075428B" w:rsidRPr="00AE3AE3" w:rsidRDefault="0075428B" w:rsidP="008269D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54.</w:t>
      </w:r>
    </w:p>
  </w:footnote>
  <w:footnote w:id="9">
    <w:p w14:paraId="49B02C02" w14:textId="7B7A24BA" w:rsidR="0075428B" w:rsidRPr="00AE3AE3" w:rsidRDefault="0075428B" w:rsidP="008269D8">
      <w:pPr>
        <w:pStyle w:val="af3"/>
        <w:spacing w:before="0" w:beforeAutospacing="0" w:after="0" w:afterAutospacing="0"/>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Appellate Body Report, </w:t>
      </w:r>
      <w:r w:rsidRPr="00AE3AE3">
        <w:rPr>
          <w:rFonts w:ascii="TimesNewRomanPS" w:hAnsi="TimesNewRomanPS"/>
          <w:i/>
          <w:sz w:val="20"/>
          <w:szCs w:val="20"/>
          <w:lang w:val="en-GB"/>
        </w:rPr>
        <w:t>EC – Fasteners (China)</w:t>
      </w:r>
      <w:r w:rsidRPr="00AE3AE3">
        <w:rPr>
          <w:rFonts w:ascii="TimesNewRomanPS" w:hAnsi="TimesNewRomanPS"/>
          <w:sz w:val="20"/>
          <w:szCs w:val="20"/>
          <w:lang w:val="en-GB"/>
        </w:rPr>
        <w:t>, DS397, para. 561.</w:t>
      </w:r>
    </w:p>
  </w:footnote>
  <w:footnote w:id="10">
    <w:p w14:paraId="6623CC7D" w14:textId="7E814790" w:rsidR="0075428B" w:rsidRPr="00AE3AE3" w:rsidRDefault="0075428B">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Appellate Body Report, </w:t>
      </w:r>
      <w:r w:rsidRPr="00AE3AE3">
        <w:rPr>
          <w:rFonts w:ascii="TimesNewRomanPS" w:hAnsi="TimesNewRomanPS"/>
          <w:i/>
          <w:iCs/>
        </w:rPr>
        <w:t>Mexico – Corn Syrup (Article 21.5 – US)</w:t>
      </w:r>
      <w:r w:rsidRPr="00AE3AE3">
        <w:rPr>
          <w:rFonts w:ascii="TimesNewRomanPS" w:hAnsi="TimesNewRomanPS"/>
        </w:rPr>
        <w:t>, DS132, para. 36</w:t>
      </w:r>
    </w:p>
  </w:footnote>
  <w:footnote w:id="11">
    <w:p w14:paraId="2A77CD4F" w14:textId="684107B7" w:rsidR="0075428B" w:rsidRPr="00AE3AE3" w:rsidRDefault="0075428B" w:rsidP="00CE5827">
      <w:pPr>
        <w:pStyle w:val="af3"/>
        <w:spacing w:before="0" w:beforeAutospacing="0" w:after="0" w:afterAutospacing="0"/>
        <w:rPr>
          <w:rFonts w:ascii="TimesNewRomanPS" w:hAnsi="TimesNewRomanPS"/>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w:t>
      </w:r>
      <w:r w:rsidRPr="00AE3AE3">
        <w:rPr>
          <w:rFonts w:ascii="TimesNewRomanPS" w:hAnsi="TimesNewRomanPS"/>
          <w:i/>
          <w:iCs/>
          <w:sz w:val="20"/>
          <w:szCs w:val="20"/>
          <w:lang w:val="en-GB"/>
        </w:rPr>
        <w:t>Ibid</w:t>
      </w:r>
      <w:r w:rsidRPr="00AE3AE3">
        <w:rPr>
          <w:rFonts w:ascii="TimesNewRomanPS" w:hAnsi="TimesNewRomanPS"/>
          <w:sz w:val="20"/>
          <w:szCs w:val="20"/>
          <w:lang w:val="en-GB"/>
        </w:rPr>
        <w:t>, para. 53.</w:t>
      </w:r>
    </w:p>
  </w:footnote>
  <w:footnote w:id="12">
    <w:p w14:paraId="6FAF1426" w14:textId="77777777" w:rsidR="0075428B" w:rsidRPr="00AE3AE3" w:rsidRDefault="0075428B" w:rsidP="00355C83">
      <w:pPr>
        <w:pStyle w:val="af3"/>
        <w:spacing w:before="0" w:beforeAutospacing="0" w:after="0" w:afterAutospacing="0"/>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Appellate Body Report, </w:t>
      </w:r>
      <w:r w:rsidRPr="00AE3AE3">
        <w:rPr>
          <w:rFonts w:ascii="TimesNewRomanPS" w:hAnsi="TimesNewRomanPS"/>
          <w:i/>
          <w:sz w:val="20"/>
          <w:szCs w:val="20"/>
          <w:lang w:val="en-GB"/>
        </w:rPr>
        <w:t>EC and certain member States – Large Civil Aircraft</w:t>
      </w:r>
      <w:r w:rsidRPr="00AE3AE3">
        <w:rPr>
          <w:rFonts w:ascii="TimesNewRomanPS" w:hAnsi="TimesNewRomanPS"/>
          <w:sz w:val="20"/>
          <w:szCs w:val="20"/>
          <w:lang w:val="en-GB"/>
        </w:rPr>
        <w:t xml:space="preserve">, DS316, para. 791. </w:t>
      </w:r>
    </w:p>
  </w:footnote>
  <w:footnote w:id="13">
    <w:p w14:paraId="0FB2263E" w14:textId="7593B847" w:rsidR="0075428B" w:rsidRPr="00AE3AE3" w:rsidRDefault="0075428B" w:rsidP="008C54F8">
      <w:pPr>
        <w:pStyle w:val="af3"/>
        <w:spacing w:before="0" w:beforeAutospacing="0" w:after="0" w:afterAutospacing="0"/>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See e.g., Panel Report, </w:t>
      </w:r>
      <w:r w:rsidRPr="00AE3AE3">
        <w:rPr>
          <w:rFonts w:ascii="TimesNewRomanPS" w:hAnsi="TimesNewRomanPS"/>
          <w:i/>
          <w:sz w:val="20"/>
          <w:szCs w:val="20"/>
          <w:lang w:val="en-GB"/>
        </w:rPr>
        <w:t>EU – Energy Package</w:t>
      </w:r>
      <w:r w:rsidRPr="00AE3AE3">
        <w:rPr>
          <w:rFonts w:ascii="TimesNewRomanPS" w:hAnsi="TimesNewRomanPS"/>
          <w:sz w:val="20"/>
          <w:szCs w:val="20"/>
          <w:lang w:val="en-GB"/>
        </w:rPr>
        <w:t xml:space="preserve">, DS476, paras. 7.200, 7.215 and 7.221; and Panel Report, </w:t>
      </w:r>
      <w:r w:rsidRPr="00AE3AE3">
        <w:rPr>
          <w:rFonts w:ascii="TimesNewRomanPS" w:hAnsi="TimesNewRomanPS"/>
          <w:i/>
          <w:sz w:val="20"/>
          <w:szCs w:val="20"/>
          <w:lang w:val="en-GB"/>
        </w:rPr>
        <w:t>Morocco – Hot-Rolled Steel (Turkey)</w:t>
      </w:r>
      <w:r w:rsidRPr="00AE3AE3">
        <w:rPr>
          <w:rFonts w:ascii="TimesNewRomanPS" w:hAnsi="TimesNewRomanPS"/>
          <w:sz w:val="20"/>
          <w:szCs w:val="20"/>
          <w:lang w:val="en-GB"/>
        </w:rPr>
        <w:t>, DS513, paras. 7.54-7.57.</w:t>
      </w:r>
    </w:p>
  </w:footnote>
  <w:footnote w:id="14">
    <w:p w14:paraId="00FC5AF5" w14:textId="39D488CA"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Waguih Elie George Siag and Clorinda Vecchi v. Arab Republic of Egyp</w:t>
      </w:r>
      <w:r w:rsidRPr="00AE3AE3">
        <w:rPr>
          <w:rFonts w:ascii="TimesNewRomanPS" w:hAnsi="TimesNewRomanPS"/>
        </w:rPr>
        <w:t>t, ICSID Case No. ARB/05/15, para. 206.</w:t>
      </w:r>
    </w:p>
  </w:footnote>
  <w:footnote w:id="15">
    <w:p w14:paraId="5E2960F2" w14:textId="30765B2C" w:rsidR="0075428B" w:rsidRPr="00AE3AE3" w:rsidRDefault="0075428B">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207.</w:t>
      </w:r>
    </w:p>
  </w:footnote>
  <w:footnote w:id="16">
    <w:p w14:paraId="58123E7C" w14:textId="77777777" w:rsidR="0075428B" w:rsidRPr="00AE3AE3" w:rsidRDefault="0075428B" w:rsidP="00355C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Responses by the European Union to the First List of Questions, para. 320.</w:t>
      </w:r>
    </w:p>
  </w:footnote>
  <w:footnote w:id="17">
    <w:p w14:paraId="3109C0FB" w14:textId="77777777" w:rsidR="0075428B" w:rsidRPr="00AE3AE3" w:rsidRDefault="0075428B" w:rsidP="00355C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323.</w:t>
      </w:r>
    </w:p>
  </w:footnote>
  <w:footnote w:id="18">
    <w:p w14:paraId="2C58AB98" w14:textId="07F2A0F7" w:rsidR="0075428B" w:rsidRPr="00AE3AE3" w:rsidRDefault="0075428B">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Question No. 14 to the European Union.</w:t>
      </w:r>
    </w:p>
  </w:footnote>
  <w:footnote w:id="19">
    <w:p w14:paraId="5E9116E6" w14:textId="77777777" w:rsidR="0075428B" w:rsidRPr="00AE3AE3" w:rsidRDefault="0075428B" w:rsidP="00355C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Responses by the European Union to Ukraine’s Questions, para. 64.</w:t>
      </w:r>
    </w:p>
  </w:footnote>
  <w:footnote w:id="20">
    <w:p w14:paraId="654FFC1B" w14:textId="77777777" w:rsidR="0075428B" w:rsidRPr="00AE3AE3" w:rsidRDefault="0075428B" w:rsidP="007A33D7">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paras. 66-67.</w:t>
      </w:r>
    </w:p>
  </w:footnote>
  <w:footnote w:id="21">
    <w:p w14:paraId="045E3D66" w14:textId="77777777" w:rsidR="0075428B" w:rsidRPr="00AE3AE3" w:rsidRDefault="0075428B" w:rsidP="00355C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68.</w:t>
      </w:r>
    </w:p>
  </w:footnote>
  <w:footnote w:id="22">
    <w:p w14:paraId="539F7B7A" w14:textId="14ADE61F"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Provisional Opening Oral Statement of Ukraine, paras. 68-97.</w:t>
      </w:r>
    </w:p>
  </w:footnote>
  <w:footnote w:id="23">
    <w:p w14:paraId="566DC479" w14:textId="76F04FB3"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paras. 86-92.</w:t>
      </w:r>
    </w:p>
  </w:footnote>
  <w:footnote w:id="24">
    <w:p w14:paraId="45D48279" w14:textId="0B44DA3F"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Provisional Opening Oral Statement of the European Union, para. 196.</w:t>
      </w:r>
    </w:p>
  </w:footnote>
  <w:footnote w:id="25">
    <w:p w14:paraId="2D61529E" w14:textId="48AD200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Provisional Opening Oral Statement of Ukraine, paras. 68-82.</w:t>
      </w:r>
    </w:p>
  </w:footnote>
  <w:footnote w:id="26">
    <w:p w14:paraId="774AD71E" w14:textId="61FBCCD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The European Union’s Note Verbale dated 20 June 2019; Ukraine’s Note Verbale dated 13 August 2019.</w:t>
      </w:r>
    </w:p>
  </w:footnote>
  <w:footnote w:id="27">
    <w:p w14:paraId="272555F0" w14:textId="6FFBFF0E"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Provisional Opening Oral Statement of Ukraine, paras. 59-61, 63-65.</w:t>
      </w:r>
    </w:p>
  </w:footnote>
  <w:footnote w:id="28">
    <w:p w14:paraId="7B4FE508" w14:textId="1AB2A0BD" w:rsidR="0075428B" w:rsidRPr="00AE3AE3" w:rsidRDefault="0075428B" w:rsidP="008C54F8">
      <w:pPr>
        <w:pStyle w:val="af3"/>
        <w:spacing w:before="0" w:beforeAutospacing="0" w:after="0" w:afterAutospacing="0"/>
        <w:jc w:val="both"/>
        <w:rPr>
          <w:rFonts w:ascii="TimesNewRomanPS" w:hAnsi="TimesNewRomanPS"/>
          <w:sz w:val="20"/>
          <w:szCs w:val="20"/>
          <w:lang w:val="en-GB"/>
        </w:rPr>
      </w:pPr>
      <w:r w:rsidRPr="00AE3AE3">
        <w:rPr>
          <w:rStyle w:val="af6"/>
          <w:rFonts w:ascii="TimesNewRomanPS" w:hAnsi="TimesNewRomanPS"/>
          <w:sz w:val="20"/>
          <w:szCs w:val="20"/>
          <w:lang w:val="en-GB"/>
        </w:rPr>
        <w:footnoteRef/>
      </w:r>
      <w:r w:rsidRPr="00AE3AE3">
        <w:rPr>
          <w:rFonts w:ascii="TimesNewRomanPS" w:hAnsi="TimesNewRomanPS"/>
          <w:sz w:val="20"/>
          <w:szCs w:val="20"/>
          <w:lang w:val="en-GB"/>
        </w:rPr>
        <w:t xml:space="preserve"> Korinek, J. and Bartos J. (2012), “Multilateralising Regionalism: Disciplines on Export Restrictions in Regional Trade Agreements”, </w:t>
      </w:r>
      <w:r w:rsidRPr="00AE3AE3">
        <w:rPr>
          <w:rFonts w:ascii="TimesNewRomanPS" w:hAnsi="TimesNewRomanPS"/>
          <w:i/>
          <w:sz w:val="20"/>
          <w:szCs w:val="20"/>
          <w:lang w:val="en-GB"/>
        </w:rPr>
        <w:t>OECD Trade Policy Papers</w:t>
      </w:r>
      <w:r w:rsidRPr="00AE3AE3">
        <w:rPr>
          <w:rFonts w:ascii="TimesNewRomanPS" w:hAnsi="TimesNewRomanPS"/>
          <w:sz w:val="20"/>
          <w:szCs w:val="20"/>
          <w:lang w:val="en-GB"/>
        </w:rPr>
        <w:t xml:space="preserve">, No. 139, OECD Publishing, Paris. </w:t>
      </w:r>
      <w:hyperlink r:id="rId1" w:history="1">
        <w:r w:rsidRPr="00AE3AE3">
          <w:rPr>
            <w:rStyle w:val="af2"/>
            <w:rFonts w:ascii="TimesNewRomanPS" w:hAnsi="TimesNewRomanPS"/>
            <w:sz w:val="20"/>
            <w:szCs w:val="20"/>
            <w:lang w:val="en-GB"/>
          </w:rPr>
          <w:t>http://dx.doi.org/10.1787/5k962hf7hfnr-en</w:t>
        </w:r>
      </w:hyperlink>
      <w:r w:rsidRPr="00AE3AE3">
        <w:rPr>
          <w:rFonts w:ascii="TimesNewRomanPS" w:hAnsi="TimesNewRomanPS"/>
          <w:sz w:val="20"/>
          <w:szCs w:val="20"/>
          <w:lang w:val="en-GB"/>
        </w:rPr>
        <w:t xml:space="preserve"> </w:t>
      </w:r>
    </w:p>
  </w:footnote>
  <w:footnote w:id="29">
    <w:p w14:paraId="43125E0A" w14:textId="5DAD9B2C"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 17.</w:t>
      </w:r>
    </w:p>
  </w:footnote>
  <w:footnote w:id="30">
    <w:p w14:paraId="2E12B9C7" w14:textId="77777777" w:rsidR="0075428B" w:rsidRPr="00AE3AE3" w:rsidRDefault="0075428B" w:rsidP="00A16D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Responses by the European Union to the First List of Questions, para. 22.</w:t>
      </w:r>
    </w:p>
  </w:footnote>
  <w:footnote w:id="31">
    <w:p w14:paraId="3291A318"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Responses by the European Union to Ukraine’s Questions, para. 40.</w:t>
      </w:r>
    </w:p>
  </w:footnote>
  <w:footnote w:id="32">
    <w:p w14:paraId="0E26FFE9" w14:textId="7C2E85C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42.</w:t>
      </w:r>
    </w:p>
  </w:footnote>
  <w:footnote w:id="33">
    <w:p w14:paraId="579119C4" w14:textId="7F3579FC"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“On Amendments to Certain Legislative Acts of Ukraine on the Preservation of Ukrainian Forests and preventing the illegal export of rough timber”, No. 2531-VIII, 6 September 2018, </w:t>
      </w:r>
      <w:r w:rsidRPr="00AE3AE3">
        <w:rPr>
          <w:rFonts w:ascii="TimesNewRomanPS" w:hAnsi="TimesNewRomanPS"/>
          <w:b/>
        </w:rPr>
        <w:t>Exhibit UKR-06</w:t>
      </w:r>
      <w:r w:rsidRPr="00AE3AE3">
        <w:rPr>
          <w:rFonts w:ascii="TimesNewRomanPS" w:hAnsi="TimesNewRomanPS"/>
        </w:rPr>
        <w:t>.</w:t>
      </w:r>
    </w:p>
  </w:footnote>
  <w:footnote w:id="34">
    <w:p w14:paraId="74966425"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Ukraine’s Written Submission, para. 47; Ukraine’s Answers to the First List of Questions, para. 104.</w:t>
      </w:r>
    </w:p>
  </w:footnote>
  <w:footnote w:id="35">
    <w:p w14:paraId="488CC784" w14:textId="2091EEA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Ukraine’s Written Submission, para. 81.</w:t>
      </w:r>
    </w:p>
  </w:footnote>
  <w:footnote w:id="36">
    <w:p w14:paraId="516DE783" w14:textId="77777777" w:rsidR="0075428B" w:rsidRPr="00AE3AE3" w:rsidRDefault="0075428B" w:rsidP="00A16D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w:t>
      </w:r>
      <w:r w:rsidRPr="00AE3AE3">
        <w:rPr>
          <w:rFonts w:ascii="TimesNewRomanPS" w:hAnsi="TimesNewRomanPS"/>
          <w:i/>
        </w:rPr>
        <w:t>“On Elements of the State Regulation of Business Operators’ Activities Related to the Sale and Export of Timber”</w:t>
      </w:r>
      <w:r w:rsidRPr="00AE3AE3">
        <w:rPr>
          <w:rFonts w:ascii="TimesNewRomanPS" w:hAnsi="TimesNewRomanPS"/>
        </w:rPr>
        <w:t xml:space="preserve">, No.  2860-IV, 8 September 2005, Article 4, </w:t>
      </w:r>
      <w:r w:rsidRPr="00AE3AE3">
        <w:rPr>
          <w:rFonts w:ascii="TimesNewRomanPS" w:hAnsi="TimesNewRomanPS"/>
          <w:b/>
        </w:rPr>
        <w:t>Exhibit UKR-2</w:t>
      </w:r>
      <w:r w:rsidRPr="00AE3AE3">
        <w:rPr>
          <w:rFonts w:ascii="TimesNewRomanPS" w:hAnsi="TimesNewRomanPS"/>
        </w:rPr>
        <w:t>.</w:t>
      </w:r>
    </w:p>
  </w:footnote>
  <w:footnote w:id="37">
    <w:p w14:paraId="03541521" w14:textId="77777777" w:rsidR="0075428B" w:rsidRPr="00AE3AE3" w:rsidRDefault="0075428B" w:rsidP="00A16D83">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Ukraine’s Written Submission, para. 47; Ukraine’s Answers to the First List of Questions, paras 5 and 104.</w:t>
      </w:r>
    </w:p>
  </w:footnote>
  <w:footnote w:id="38">
    <w:p w14:paraId="756FB2CA" w14:textId="0B8B1F0C"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eastAsia="TimesNewRomanPS" w:hAnsi="TimesNewRomanPS"/>
        </w:rPr>
        <w:t xml:space="preserve">2019 Annual Report of the State Forest Resources Agency of Ukraine, Chapter 2.3.3, </w:t>
      </w:r>
      <w:r w:rsidRPr="00AE3AE3">
        <w:rPr>
          <w:rFonts w:ascii="TimesNewRomanPS" w:eastAsia="TimesNewRomanPS" w:hAnsi="TimesNewRomanPS"/>
          <w:b/>
        </w:rPr>
        <w:t>Exhibit UKR-01</w:t>
      </w:r>
      <w:r w:rsidRPr="00AE3AE3">
        <w:rPr>
          <w:rFonts w:ascii="TimesNewRomanPS" w:eastAsia="TimesNewRomanPS" w:hAnsi="TimesNewRomanPS"/>
        </w:rPr>
        <w:t>.</w:t>
      </w:r>
    </w:p>
  </w:footnote>
  <w:footnote w:id="39">
    <w:p w14:paraId="592ADC41" w14:textId="592E37E5"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Written Submission, para. 49; Ukraine’s Answers to the First List of Questions, para. 17.</w:t>
      </w:r>
    </w:p>
  </w:footnote>
  <w:footnote w:id="40">
    <w:p w14:paraId="2A586BF2"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On 27 May 2020, the Cabinet of Ministers of Ukraine adopted Resolution No. 425 by which it has decided to rename the Ministry of Energy and Environmental Protection of Ukraine into the rename the Ministry of Energy of Ukraine and establish the Ministry of Ecology and Natural Resources of Ukraine.</w:t>
      </w:r>
    </w:p>
  </w:footnote>
  <w:footnote w:id="41">
    <w:p w14:paraId="1D31DF15" w14:textId="251A161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Resolution of the Cabinet of Ministers of Ukraine </w:t>
      </w:r>
      <w:r w:rsidRPr="00AE3AE3">
        <w:rPr>
          <w:rFonts w:ascii="TimesNewRomanPS" w:hAnsi="TimesNewRomanPS"/>
          <w:i/>
        </w:rPr>
        <w:t>“On Approval of the Procedure for Monitoring the Domestic Consumption of Unprocessed Domestic Timber and Controlling Excess of the Domestic Consumption of Unprocessed Domestic Timber”</w:t>
      </w:r>
      <w:r w:rsidRPr="00AE3AE3">
        <w:rPr>
          <w:rFonts w:ascii="TimesNewRomanPS" w:hAnsi="TimesNewRomanPS"/>
        </w:rPr>
        <w:t xml:space="preserve">, No. 1142, 4 December 2019, para. 2, </w:t>
      </w:r>
      <w:r w:rsidRPr="00AE3AE3">
        <w:rPr>
          <w:rFonts w:ascii="TimesNewRomanPS" w:hAnsi="TimesNewRomanPS"/>
          <w:b/>
        </w:rPr>
        <w:t>Exhibit EU-15</w:t>
      </w:r>
      <w:r w:rsidRPr="00AE3AE3">
        <w:rPr>
          <w:rFonts w:ascii="TimesNewRomanPS" w:hAnsi="TimesNewRomanPS"/>
        </w:rPr>
        <w:t>.</w:t>
      </w:r>
    </w:p>
  </w:footnote>
  <w:footnote w:id="42">
    <w:p w14:paraId="1D47FD00"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hyperlink r:id="rId2" w:history="1">
        <w:r w:rsidRPr="00AE3AE3">
          <w:rPr>
            <w:rStyle w:val="af2"/>
            <w:rFonts w:ascii="TimesNewRomanPS" w:hAnsi="TimesNewRomanPS"/>
          </w:rPr>
          <w:t>http://dklg.kmu.gov.ua/forest/control/uk/publish/article?art_id=207160&amp;cat_id=206804</w:t>
        </w:r>
      </w:hyperlink>
    </w:p>
  </w:footnote>
  <w:footnote w:id="43">
    <w:p w14:paraId="5F767B79" w14:textId="2BFC52EA"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Procedure for Monitoring the Domestic Consumption of Unprocessed Domestic Timber and Controlling Excess of the Domestic Consumption of Unprocessed Domestic Timber, approved by Resolution of the Cabinet of Ministers of Ukraine No. 1142, dated 4 December 2019, para. 2, </w:t>
      </w:r>
      <w:r w:rsidRPr="00AE3AE3">
        <w:rPr>
          <w:rFonts w:ascii="TimesNewRomanPS" w:hAnsi="TimesNewRomanPS"/>
          <w:b/>
        </w:rPr>
        <w:t>Exhibit EU-15</w:t>
      </w:r>
      <w:r w:rsidRPr="00AE3AE3">
        <w:rPr>
          <w:rFonts w:ascii="TimesNewRomanPS" w:hAnsi="TimesNewRomanPS"/>
        </w:rPr>
        <w:t>.</w:t>
      </w:r>
    </w:p>
  </w:footnote>
  <w:footnote w:id="44">
    <w:p w14:paraId="5F6BC83E" w14:textId="73F0F4F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5.</w:t>
      </w:r>
    </w:p>
  </w:footnote>
  <w:footnote w:id="45">
    <w:p w14:paraId="6DC1B0B4" w14:textId="17F3047E"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hyperlink r:id="rId3" w:history="1">
        <w:r w:rsidRPr="00AE3AE3">
          <w:rPr>
            <w:rStyle w:val="af2"/>
            <w:rFonts w:ascii="TimesNewRomanPS" w:hAnsi="TimesNewRomanPS"/>
          </w:rPr>
          <w:t>http://dklg.kmu.gov.ua/forest/document/210432;/monitoring-2020-08.pdf</w:t>
        </w:r>
      </w:hyperlink>
      <w:r w:rsidRPr="00AE3AE3">
        <w:rPr>
          <w:rFonts w:ascii="TimesNewRomanPS" w:hAnsi="TimesNewRomanPS"/>
        </w:rPr>
        <w:t xml:space="preserve"> </w:t>
      </w:r>
    </w:p>
  </w:footnote>
  <w:footnote w:id="46">
    <w:p w14:paraId="09F53AC3" w14:textId="105779F1"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Procedure for Monitoring the Domestic Consumption of Unprocessed Domestic Timber and Controlling Excess of the Domestic Consumption of Unprocessed Domestic Timber, approved by Resolution of the Cabinet of Ministers of Ukraine No. 1142, dated 4 December 2019, para. 7, </w:t>
      </w:r>
      <w:r w:rsidRPr="00AE3AE3">
        <w:rPr>
          <w:rFonts w:ascii="TimesNewRomanPS" w:hAnsi="TimesNewRomanPS"/>
          <w:b/>
        </w:rPr>
        <w:t>Exhibit EU-15</w:t>
      </w:r>
      <w:r w:rsidRPr="00AE3AE3">
        <w:rPr>
          <w:rFonts w:ascii="TimesNewRomanPS" w:hAnsi="TimesNewRomanPS"/>
        </w:rPr>
        <w:t>.</w:t>
      </w:r>
    </w:p>
  </w:footnote>
  <w:footnote w:id="47">
    <w:p w14:paraId="1FDC09B5" w14:textId="188AE8E8"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12.</w:t>
      </w:r>
    </w:p>
  </w:footnote>
  <w:footnote w:id="48">
    <w:p w14:paraId="1AB15689"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hAnsi="TimesNewRomanPS"/>
        </w:rPr>
        <w:t>Ukraine’s Written Submissions, para. 57.</w:t>
      </w:r>
    </w:p>
  </w:footnote>
  <w:footnote w:id="49">
    <w:p w14:paraId="2051823D"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Initially, i.e., in 2009, only 542 animal species were included into the 3</w:t>
      </w:r>
      <w:r w:rsidRPr="00AE3AE3">
        <w:rPr>
          <w:rFonts w:ascii="TimesNewRomanPS" w:hAnsi="TimesNewRomanPS"/>
          <w:vertAlign w:val="superscript"/>
        </w:rPr>
        <w:t>rd</w:t>
      </w:r>
      <w:r w:rsidRPr="00AE3AE3">
        <w:rPr>
          <w:rFonts w:ascii="TimesNewRomanPS" w:hAnsi="TimesNewRomanPS"/>
        </w:rPr>
        <w:t xml:space="preserve"> edition of the Red Book of Ukraine. However, in 2017, the then Ministry of Ecology and Natural Resources of Ukraine put the European elk (</w:t>
      </w:r>
      <w:r w:rsidRPr="00AE3AE3">
        <w:rPr>
          <w:rFonts w:ascii="TimesNewRomanPS" w:hAnsi="TimesNewRomanPS"/>
          <w:i/>
        </w:rPr>
        <w:t>Alces alces</w:t>
      </w:r>
      <w:r w:rsidRPr="00AE3AE3">
        <w:rPr>
          <w:rFonts w:ascii="TimesNewRomanPS" w:hAnsi="TimesNewRomanPS"/>
        </w:rPr>
        <w:t>) on the Red Book list.</w:t>
      </w:r>
    </w:p>
  </w:footnote>
  <w:footnote w:id="50">
    <w:p w14:paraId="71FE2809" w14:textId="17D83F90"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Order of the Ministry of Environmental Protection of Ukraine </w:t>
      </w:r>
      <w:r w:rsidRPr="00AE3AE3">
        <w:rPr>
          <w:rFonts w:ascii="TimesNewRomanPS" w:hAnsi="TimesNewRomanPS"/>
          <w:i/>
        </w:rPr>
        <w:t xml:space="preserve">“On Approval of the Lists of Plant and Mushroom Species that are included to the Red Book of Ukraine (Plant Life) and Plant and Mushroom Species that are excluded from the Red Book of Ukraine (Plant Life)” </w:t>
      </w:r>
      <w:r w:rsidRPr="00AE3AE3">
        <w:rPr>
          <w:rFonts w:ascii="TimesNewRomanPS" w:hAnsi="TimesNewRomanPS"/>
        </w:rPr>
        <w:t xml:space="preserve">No. 312, 17 June 2009, </w:t>
      </w:r>
      <w:r w:rsidRPr="00AE3AE3">
        <w:rPr>
          <w:rFonts w:ascii="TimesNewRomanPS" w:hAnsi="TimesNewRomanPS"/>
          <w:b/>
        </w:rPr>
        <w:t>Exhibit UKR-53</w:t>
      </w:r>
      <w:r w:rsidRPr="00AE3AE3">
        <w:rPr>
          <w:rFonts w:ascii="TimesNewRomanPS" w:hAnsi="TimesNewRomanPS"/>
        </w:rPr>
        <w:t>.</w:t>
      </w:r>
    </w:p>
  </w:footnote>
  <w:footnote w:id="51">
    <w:p w14:paraId="3E52E538" w14:textId="6828F38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p>
  </w:footnote>
  <w:footnote w:id="52">
    <w:p w14:paraId="0D306A3E" w14:textId="704408FA"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rPr>
        <w:t>Responses by the European Union to the First List of Questions</w:t>
      </w:r>
      <w:r w:rsidRPr="00AE3AE3">
        <w:rPr>
          <w:rFonts w:ascii="TimesNewRomanPS" w:eastAsia="Calibri" w:hAnsi="TimesNewRomanPS"/>
        </w:rPr>
        <w:t>, para. 163; Ukraine’s Written Submission, para. 57.</w:t>
      </w:r>
    </w:p>
  </w:footnote>
  <w:footnote w:id="53">
    <w:p w14:paraId="15687849" w14:textId="4BA25D5C"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bookmarkStart w:id="57" w:name="_Hlk47083257"/>
      <w:r w:rsidRPr="00AE3AE3">
        <w:rPr>
          <w:rFonts w:ascii="TimesNewRomanPS" w:hAnsi="TimesNewRomanPS"/>
        </w:rPr>
        <w:t xml:space="preserve">List of Plant and Mushroom Species that are included to the Red Book of Ukraine (Plant Life), approved by Order of the Ministry of Environmental Protection of Ukraine </w:t>
      </w:r>
      <w:r w:rsidRPr="00AE3AE3">
        <w:rPr>
          <w:rFonts w:ascii="TimesNewRomanPS" w:hAnsi="TimesNewRomanPS"/>
          <w:i/>
        </w:rPr>
        <w:t xml:space="preserve">“On Approval of the Lists of Plant and Mushroom Species that are included to the Red Book of Ukraine (Plant Life) and Plant and Mushroom Species that are excluded from the Red Book of Ukraine (Plant Life)” </w:t>
      </w:r>
      <w:r w:rsidRPr="00AE3AE3">
        <w:rPr>
          <w:rFonts w:ascii="TimesNewRomanPS" w:hAnsi="TimesNewRomanPS"/>
        </w:rPr>
        <w:t xml:space="preserve">No. 312, 17 June 2009, </w:t>
      </w:r>
      <w:r w:rsidRPr="00AE3AE3">
        <w:rPr>
          <w:rFonts w:ascii="TimesNewRomanPS" w:hAnsi="TimesNewRomanPS"/>
          <w:u w:val="single"/>
        </w:rPr>
        <w:t>item No. 569</w:t>
      </w:r>
      <w:r w:rsidRPr="00AE3AE3">
        <w:rPr>
          <w:rFonts w:ascii="TimesNewRomanPS" w:hAnsi="TimesNewRomanPS"/>
        </w:rPr>
        <w:t xml:space="preserve">, </w:t>
      </w:r>
      <w:r w:rsidRPr="00AE3AE3">
        <w:rPr>
          <w:rFonts w:ascii="TimesNewRomanPS" w:hAnsi="TimesNewRomanPS"/>
          <w:b/>
        </w:rPr>
        <w:t>Exhibit UKR-53</w:t>
      </w:r>
      <w:bookmarkEnd w:id="57"/>
      <w:r w:rsidRPr="00AE3AE3">
        <w:rPr>
          <w:rFonts w:ascii="TimesNewRomanPS" w:hAnsi="TimesNewRomanPS"/>
        </w:rPr>
        <w:t>.</w:t>
      </w:r>
    </w:p>
  </w:footnote>
  <w:footnote w:id="54">
    <w:p w14:paraId="63DB3EFE" w14:textId="1F66D8AE"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“On the Red Book of Ukraine”, No. 3055-III, 7 February 2002, Article 13</w:t>
      </w:r>
    </w:p>
  </w:footnote>
  <w:footnote w:id="55">
    <w:p w14:paraId="6D0C7222" w14:textId="35052A3C"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rPr>
        <w:t>Responses by the European Union to the First List of Questions</w:t>
      </w:r>
      <w:r w:rsidRPr="00AE3AE3">
        <w:rPr>
          <w:rFonts w:ascii="TimesNewRomanPS" w:eastAsia="Calibri" w:hAnsi="TimesNewRomanPS"/>
        </w:rPr>
        <w:t>, para. 163; Ukraine’s Written Submission, para. 57.</w:t>
      </w:r>
    </w:p>
  </w:footnote>
  <w:footnote w:id="56">
    <w:p w14:paraId="118376B8" w14:textId="67F94EE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List of Plant and Mushroom Species that are included to the Red Book of Ukraine (Plant Life), approved by Order of the Ministry of Environmental Protection of Ukraine </w:t>
      </w:r>
      <w:r w:rsidRPr="00AE3AE3">
        <w:rPr>
          <w:rFonts w:ascii="TimesNewRomanPS" w:hAnsi="TimesNewRomanPS"/>
          <w:i/>
        </w:rPr>
        <w:t xml:space="preserve">“On Approval of the Lists of Plant and Mushroom Species that are included to the Red Book of Ukraine (Plant Life) and Plant and Mushroom Species that are excluded from the Red Book of Ukraine (Plant Life)” </w:t>
      </w:r>
      <w:r w:rsidRPr="00AE3AE3">
        <w:rPr>
          <w:rFonts w:ascii="TimesNewRomanPS" w:hAnsi="TimesNewRomanPS"/>
        </w:rPr>
        <w:t xml:space="preserve">No. 312, 17 June 2009, </w:t>
      </w:r>
      <w:r w:rsidRPr="00AE3AE3">
        <w:rPr>
          <w:rFonts w:ascii="TimesNewRomanPS" w:hAnsi="TimesNewRomanPS"/>
          <w:u w:val="single"/>
        </w:rPr>
        <w:t>item No. 38</w:t>
      </w:r>
      <w:r w:rsidRPr="00AE3AE3">
        <w:rPr>
          <w:rFonts w:ascii="TimesNewRomanPS" w:hAnsi="TimesNewRomanPS"/>
        </w:rPr>
        <w:t xml:space="preserve">, </w:t>
      </w:r>
      <w:r w:rsidRPr="00AE3AE3">
        <w:rPr>
          <w:rFonts w:ascii="TimesNewRomanPS" w:hAnsi="TimesNewRomanPS"/>
          <w:b/>
        </w:rPr>
        <w:t>Exhibit UKR-53</w:t>
      </w:r>
      <w:r w:rsidRPr="00AE3AE3">
        <w:rPr>
          <w:rFonts w:ascii="TimesNewRomanPS" w:hAnsi="TimesNewRomanPS"/>
        </w:rPr>
        <w:t>.</w:t>
      </w:r>
    </w:p>
  </w:footnote>
  <w:footnote w:id="57">
    <w:p w14:paraId="7B6E27C3" w14:textId="79B2D6C2"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“On the Red Book of Ukraine”, No. 3055-III, 7 February 2002, Article 13.</w:t>
      </w:r>
    </w:p>
  </w:footnote>
  <w:footnote w:id="58">
    <w:p w14:paraId="4BF86983" w14:textId="0E71A869"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List of Plant and Mushroom Species that are included to the Red Book of Ukraine (Plant Life), approved by Order of the Ministry of Environmental Protection of Ukraine </w:t>
      </w:r>
      <w:r w:rsidRPr="00AE3AE3">
        <w:rPr>
          <w:rFonts w:ascii="TimesNewRomanPS" w:hAnsi="TimesNewRomanPS"/>
          <w:i/>
        </w:rPr>
        <w:t xml:space="preserve">“On Approval of the Lists of Plant and Mushroom Species that are included to the Red Book of Ukraine (Plant Life) and Plant and Mushroom Species that are excluded from the Red Book of Ukraine (Plant Life)” </w:t>
      </w:r>
      <w:r w:rsidRPr="00AE3AE3">
        <w:rPr>
          <w:rFonts w:ascii="TimesNewRomanPS" w:hAnsi="TimesNewRomanPS"/>
        </w:rPr>
        <w:t xml:space="preserve">No. 312, 17 June 2009, </w:t>
      </w:r>
      <w:r w:rsidRPr="00AE3AE3">
        <w:rPr>
          <w:rFonts w:ascii="TimesNewRomanPS" w:hAnsi="TimesNewRomanPS"/>
          <w:u w:val="single"/>
        </w:rPr>
        <w:t>item No. 32</w:t>
      </w:r>
      <w:r w:rsidRPr="00AE3AE3">
        <w:rPr>
          <w:rFonts w:ascii="TimesNewRomanPS" w:hAnsi="TimesNewRomanPS"/>
        </w:rPr>
        <w:t xml:space="preserve">, </w:t>
      </w:r>
      <w:r w:rsidRPr="00AE3AE3">
        <w:rPr>
          <w:rFonts w:ascii="TimesNewRomanPS" w:hAnsi="TimesNewRomanPS"/>
          <w:b/>
        </w:rPr>
        <w:t>Exhibit UKR-53</w:t>
      </w:r>
      <w:r w:rsidRPr="00AE3AE3">
        <w:rPr>
          <w:rFonts w:ascii="TimesNewRomanPS" w:hAnsi="TimesNewRomanPS"/>
        </w:rPr>
        <w:t>.</w:t>
      </w:r>
    </w:p>
  </w:footnote>
  <w:footnote w:id="59">
    <w:p w14:paraId="13F4A23B" w14:textId="68DD9A89"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List of Plant and Mushroom Species that are included to the Red Book of Ukraine (Plant Life), approved by Order of the Ministry of Environmental Protection of Ukraine </w:t>
      </w:r>
      <w:r w:rsidRPr="00AE3AE3">
        <w:rPr>
          <w:rFonts w:ascii="TimesNewRomanPS" w:hAnsi="TimesNewRomanPS"/>
          <w:i/>
        </w:rPr>
        <w:t xml:space="preserve">“On Approval of the Lists of Plant and Mushroom Species that are included to the Red Book of Ukraine (Plant Life) and Plant and Mushroom Species that are excluded from the Red Book of Ukraine (Plant Life)” </w:t>
      </w:r>
      <w:r w:rsidRPr="00AE3AE3">
        <w:rPr>
          <w:rFonts w:ascii="TimesNewRomanPS" w:hAnsi="TimesNewRomanPS"/>
        </w:rPr>
        <w:t xml:space="preserve">No. 312, 17 June 2009, </w:t>
      </w:r>
      <w:r w:rsidRPr="00AE3AE3">
        <w:rPr>
          <w:rFonts w:ascii="TimesNewRomanPS" w:hAnsi="TimesNewRomanPS"/>
          <w:u w:val="single"/>
        </w:rPr>
        <w:t>item No. 33</w:t>
      </w:r>
      <w:r w:rsidRPr="00AE3AE3">
        <w:rPr>
          <w:rFonts w:ascii="TimesNewRomanPS" w:hAnsi="TimesNewRomanPS"/>
        </w:rPr>
        <w:t xml:space="preserve">, </w:t>
      </w:r>
      <w:r w:rsidRPr="00AE3AE3">
        <w:rPr>
          <w:rFonts w:ascii="TimesNewRomanPS" w:hAnsi="TimesNewRomanPS"/>
          <w:b/>
        </w:rPr>
        <w:t>Exhibit UKR-53</w:t>
      </w:r>
      <w:r w:rsidRPr="00AE3AE3">
        <w:rPr>
          <w:rFonts w:ascii="TimesNewRomanPS" w:hAnsi="TimesNewRomanPS"/>
        </w:rPr>
        <w:t>.</w:t>
      </w:r>
    </w:p>
  </w:footnote>
  <w:footnote w:id="60">
    <w:p w14:paraId="2B006A88" w14:textId="73DA8763"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“On the Red Book of Ukraine”, No. 3055-III, 7 February 2002, Article 13.</w:t>
      </w:r>
    </w:p>
  </w:footnote>
  <w:footnote w:id="61">
    <w:p w14:paraId="4A03A69E" w14:textId="241D5B5F"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List of Plant and Mushroom Species that are included to the Red Book of Ukraine (Plant Life), approved by Order of the Ministry of Environmental Protection of Ukraine </w:t>
      </w:r>
      <w:r w:rsidRPr="00AE3AE3">
        <w:rPr>
          <w:rFonts w:ascii="TimesNewRomanPS" w:hAnsi="TimesNewRomanPS"/>
          <w:i/>
        </w:rPr>
        <w:t xml:space="preserve">“On Approval of the Lists of Plant and Mushroom Species that are included to the Red Book of Ukraine (Plant Life) and Plant and Mushroom Species that are excluded from the Red Book of Ukraine (Plant Life)” </w:t>
      </w:r>
      <w:r w:rsidRPr="00AE3AE3">
        <w:rPr>
          <w:rFonts w:ascii="TimesNewRomanPS" w:hAnsi="TimesNewRomanPS"/>
        </w:rPr>
        <w:t xml:space="preserve">No. 312, 17 June 2009, </w:t>
      </w:r>
      <w:r w:rsidRPr="00AE3AE3">
        <w:rPr>
          <w:rFonts w:ascii="TimesNewRomanPS" w:hAnsi="TimesNewRomanPS"/>
          <w:u w:val="single"/>
        </w:rPr>
        <w:t>item No. 563</w:t>
      </w:r>
      <w:r w:rsidRPr="00AE3AE3">
        <w:rPr>
          <w:rFonts w:ascii="TimesNewRomanPS" w:hAnsi="TimesNewRomanPS"/>
        </w:rPr>
        <w:t xml:space="preserve">, </w:t>
      </w:r>
      <w:r w:rsidRPr="00AE3AE3">
        <w:rPr>
          <w:rFonts w:ascii="TimesNewRomanPS" w:hAnsi="TimesNewRomanPS"/>
          <w:b/>
        </w:rPr>
        <w:t>Exhibit UKR-53</w:t>
      </w:r>
      <w:r w:rsidRPr="00AE3AE3">
        <w:rPr>
          <w:rFonts w:ascii="TimesNewRomanPS" w:hAnsi="TimesNewRomanPS"/>
        </w:rPr>
        <w:t>.</w:t>
      </w:r>
    </w:p>
  </w:footnote>
  <w:footnote w:id="62">
    <w:p w14:paraId="091BD29E" w14:textId="4ECF1B5F"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Article 70 of the Forest Code of Ukraine, </w:t>
      </w:r>
      <w:r w:rsidRPr="00AE3AE3">
        <w:rPr>
          <w:rFonts w:ascii="TimesNewRomanPS" w:hAnsi="TimesNewRomanPS"/>
          <w:b/>
        </w:rPr>
        <w:t>Exhibit UKR-39</w:t>
      </w:r>
      <w:r w:rsidRPr="00AE3AE3">
        <w:rPr>
          <w:rFonts w:ascii="TimesNewRomanPS" w:hAnsi="TimesNewRomanPS"/>
        </w:rPr>
        <w:t xml:space="preserve">; </w:t>
      </w:r>
      <w:r w:rsidRPr="00AE3AE3">
        <w:rPr>
          <w:rFonts w:ascii="TimesNewRomanPS" w:hAnsi="TimesNewRomanPS"/>
          <w:i/>
        </w:rPr>
        <w:t xml:space="preserve">See </w:t>
      </w:r>
      <w:r w:rsidRPr="00AE3AE3">
        <w:rPr>
          <w:rFonts w:ascii="TimesNewRomanPS" w:eastAsia="Calibri" w:hAnsi="TimesNewRomanPS"/>
        </w:rPr>
        <w:t xml:space="preserve">Ukraine’s Written Submission, para. 232; </w:t>
      </w:r>
      <w:r w:rsidRPr="00AE3AE3">
        <w:rPr>
          <w:rFonts w:ascii="TimesNewRomanPS" w:hAnsi="TimesNewRomanPS"/>
        </w:rPr>
        <w:t>Ukraine’s Answers to the First List of Questions</w:t>
      </w:r>
      <w:r w:rsidRPr="00AE3AE3">
        <w:rPr>
          <w:rFonts w:ascii="TimesNewRomanPS" w:eastAsia="Calibri" w:hAnsi="TimesNewRomanPS"/>
        </w:rPr>
        <w:t>, para. 33.</w:t>
      </w:r>
    </w:p>
  </w:footnote>
  <w:footnote w:id="63">
    <w:p w14:paraId="0B6BBB5D"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Written Submissions, para. 156.</w:t>
      </w:r>
    </w:p>
  </w:footnote>
  <w:footnote w:id="64">
    <w:p w14:paraId="3EFF8898" w14:textId="24EECD0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“On the Red Book of Ukraine”, No. 3055-III, 7 February 2002, Article 12.</w:t>
      </w:r>
    </w:p>
  </w:footnote>
  <w:footnote w:id="65">
    <w:p w14:paraId="3A11C116"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hyperlink r:id="rId4" w:history="1">
        <w:r w:rsidRPr="00AE3AE3">
          <w:rPr>
            <w:rStyle w:val="af2"/>
            <w:rFonts w:ascii="TimesNewRomanPS" w:hAnsi="TimesNewRomanPS"/>
          </w:rPr>
          <w:t>https://cites.org/eng/app/appendices.php</w:t>
        </w:r>
      </w:hyperlink>
      <w:r w:rsidRPr="00AE3AE3">
        <w:rPr>
          <w:rFonts w:ascii="TimesNewRomanPS" w:hAnsi="TimesNewRomanPS"/>
        </w:rPr>
        <w:t xml:space="preserve"> </w:t>
      </w:r>
    </w:p>
  </w:footnote>
  <w:footnote w:id="66">
    <w:p w14:paraId="56294887"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hyperlink r:id="rId5" w:history="1">
        <w:r w:rsidRPr="00AE3AE3">
          <w:rPr>
            <w:rStyle w:val="af2"/>
            <w:rFonts w:ascii="TimesNewRomanPS" w:hAnsi="TimesNewRomanPS"/>
          </w:rPr>
          <w:t>https://www.iucnredlist.org/</w:t>
        </w:r>
      </w:hyperlink>
      <w:r w:rsidRPr="00AE3AE3">
        <w:rPr>
          <w:rFonts w:ascii="TimesNewRomanPS" w:hAnsi="TimesNewRomanPS"/>
        </w:rPr>
        <w:t xml:space="preserve"> - the search has been carried out for the Europe region and data provided only in relation to those species that are relevant to the territory of Ukraine.</w:t>
      </w:r>
    </w:p>
  </w:footnote>
  <w:footnote w:id="67">
    <w:p w14:paraId="08D03B03" w14:textId="7FA73F5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According to Article 1 of Law of Ukraine </w:t>
      </w:r>
      <w:r w:rsidRPr="00AE3AE3">
        <w:rPr>
          <w:rFonts w:ascii="TimesNewRomanPS" w:hAnsi="TimesNewRomanPS"/>
          <w:i/>
        </w:rPr>
        <w:t>“On Elements of the State Regulation of Business Operators’ Activities Related to the Sale and Export of Timber”</w:t>
      </w:r>
      <w:r w:rsidRPr="00AE3AE3">
        <w:rPr>
          <w:rFonts w:ascii="TimesNewRomanPS" w:hAnsi="TimesNewRomanPS"/>
        </w:rPr>
        <w:t xml:space="preserve">, No.  2860-IV, 8 September 2005, </w:t>
      </w:r>
      <w:r w:rsidRPr="00AE3AE3">
        <w:rPr>
          <w:rFonts w:ascii="TimesNewRomanPS" w:hAnsi="TimesNewRomanPS"/>
          <w:b/>
        </w:rPr>
        <w:t>Exhibit UKR-2</w:t>
      </w:r>
      <w:r w:rsidRPr="00AE3AE3">
        <w:rPr>
          <w:rFonts w:ascii="TimesNewRomanPS" w:hAnsi="TimesNewRomanPS"/>
        </w:rPr>
        <w:t>.</w:t>
      </w:r>
    </w:p>
  </w:footnote>
  <w:footnote w:id="68">
    <w:p w14:paraId="37749F02" w14:textId="1E69D855"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In singular, according to the English translation of Article 1 of Law of Ukraine </w:t>
      </w:r>
      <w:r w:rsidRPr="00AE3AE3">
        <w:rPr>
          <w:rFonts w:ascii="TimesNewRomanPS" w:hAnsi="TimesNewRomanPS"/>
          <w:i/>
        </w:rPr>
        <w:t>“On Elements of the State Regulation of Business Operators’ Activities Related to the Sale and Export of Timber”</w:t>
      </w:r>
      <w:r w:rsidRPr="00AE3AE3">
        <w:rPr>
          <w:rFonts w:ascii="TimesNewRomanPS" w:hAnsi="TimesNewRomanPS"/>
        </w:rPr>
        <w:t xml:space="preserve">, No.  2860-IV, 8 September 2005, </w:t>
      </w:r>
      <w:r w:rsidRPr="00AE3AE3">
        <w:rPr>
          <w:rFonts w:ascii="TimesNewRomanPS" w:hAnsi="TimesNewRomanPS"/>
          <w:b/>
        </w:rPr>
        <w:t>Exhibit EU-3</w:t>
      </w:r>
      <w:r w:rsidRPr="00AE3AE3">
        <w:rPr>
          <w:rFonts w:ascii="TimesNewRomanPS" w:hAnsi="TimesNewRomanPS"/>
        </w:rPr>
        <w:t>.</w:t>
      </w:r>
    </w:p>
  </w:footnote>
  <w:footnote w:id="69">
    <w:p w14:paraId="1004DD0E"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Excluding data regarding “Data Deficient” and “Not Evaluated” categories.</w:t>
      </w:r>
    </w:p>
  </w:footnote>
  <w:footnote w:id="70">
    <w:p w14:paraId="25A126F2"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Save for </w:t>
      </w:r>
      <w:r w:rsidRPr="00AE3AE3">
        <w:rPr>
          <w:rFonts w:ascii="TimesNewRomanPS" w:hAnsi="TimesNewRomanPS"/>
          <w:i/>
        </w:rPr>
        <w:t xml:space="preserve">Prunus Africana </w:t>
      </w:r>
      <w:r w:rsidRPr="00AE3AE3">
        <w:rPr>
          <w:rFonts w:ascii="TimesNewRomanPS" w:hAnsi="TimesNewRomanPS"/>
        </w:rPr>
        <w:t>(African cherry), which is not relevant to this case.</w:t>
      </w:r>
    </w:p>
  </w:footnote>
  <w:footnote w:id="71">
    <w:p w14:paraId="78745899" w14:textId="1CAAEA41"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Article 70 of the Forest Code of Ukraine, </w:t>
      </w:r>
      <w:r w:rsidRPr="00AE3AE3">
        <w:rPr>
          <w:rFonts w:ascii="TimesNewRomanPS" w:hAnsi="TimesNewRomanPS"/>
          <w:b/>
        </w:rPr>
        <w:t>Exhibit UKR-39</w:t>
      </w:r>
      <w:r w:rsidRPr="00AE3AE3">
        <w:rPr>
          <w:rFonts w:ascii="TimesNewRomanPS" w:hAnsi="TimesNewRomanPS"/>
        </w:rPr>
        <w:t>; See</w:t>
      </w:r>
      <w:r w:rsidRPr="00AE3AE3">
        <w:rPr>
          <w:rFonts w:ascii="TimesNewRomanPS" w:hAnsi="TimesNewRomanPS"/>
          <w:i/>
        </w:rPr>
        <w:t xml:space="preserve"> </w:t>
      </w:r>
      <w:r w:rsidRPr="00AE3AE3">
        <w:rPr>
          <w:rFonts w:ascii="TimesNewRomanPS" w:eastAsia="Calibri" w:hAnsi="TimesNewRomanPS"/>
        </w:rPr>
        <w:t xml:space="preserve">Ukraine’s Written Submission, para. 232; </w:t>
      </w:r>
      <w:r w:rsidRPr="00AE3AE3">
        <w:rPr>
          <w:rFonts w:ascii="TimesNewRomanPS" w:hAnsi="TimesNewRomanPS"/>
        </w:rPr>
        <w:t>Ukraine’s Answers to the First List of Questions</w:t>
      </w:r>
      <w:r w:rsidRPr="00AE3AE3">
        <w:rPr>
          <w:rFonts w:ascii="TimesNewRomanPS" w:eastAsia="Calibri" w:hAnsi="TimesNewRomanPS"/>
        </w:rPr>
        <w:t>, para. 33.</w:t>
      </w:r>
    </w:p>
  </w:footnote>
  <w:footnote w:id="72">
    <w:p w14:paraId="26830D5B" w14:textId="14E3057A"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Provisional Opening Oral Statement of Ukraine, para. 26.</w:t>
      </w:r>
    </w:p>
  </w:footnote>
  <w:footnote w:id="73">
    <w:p w14:paraId="5D90A513" w14:textId="0F330CBA"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Answers to the First List of Questions, paras. 110-112.</w:t>
      </w:r>
    </w:p>
  </w:footnote>
  <w:footnote w:id="74">
    <w:p w14:paraId="751F8247" w14:textId="5FE85943"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Procedure for Monitoring the Domestic Consumption of Unprocessed Domestic Timber and Controlling Excess of the Domestic Consumption of Unprocessed Domestic Timber, approved by Resolution of the Cabinet of Ministers of Ukraine No. 1142, dated 4 December 2019, para. 7, </w:t>
      </w:r>
      <w:r w:rsidRPr="00AE3AE3">
        <w:rPr>
          <w:rFonts w:ascii="TimesNewRomanPS" w:hAnsi="TimesNewRomanPS"/>
          <w:b/>
        </w:rPr>
        <w:t>Exhibit EU-15</w:t>
      </w:r>
      <w:r w:rsidRPr="00AE3AE3">
        <w:rPr>
          <w:rFonts w:ascii="TimesNewRomanPS" w:hAnsi="TimesNewRomanPS"/>
        </w:rPr>
        <w:t>.</w:t>
      </w:r>
    </w:p>
  </w:footnote>
  <w:footnote w:id="75">
    <w:p w14:paraId="39BBCE32" w14:textId="1D119B85"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Ukraine’s Written Submission, para. 47; Ukraine’s Answers to the First List of Questions, paras. 5 and 104; Provisional Opening Oral Statement of Ukraine, paras. 26, 30-31.</w:t>
      </w:r>
    </w:p>
  </w:footnote>
  <w:footnote w:id="76">
    <w:p w14:paraId="4CBC4453" w14:textId="77777777" w:rsidR="0075428B" w:rsidRPr="00AE3AE3" w:rsidRDefault="0075428B" w:rsidP="008C54F8">
      <w:pPr>
        <w:pStyle w:val="af4"/>
        <w:rPr>
          <w:rFonts w:ascii="TimesNewRomanPS" w:hAnsi="TimesNewRomanPS"/>
          <w:lang w:eastAsia="ru-RU"/>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b/>
        </w:rPr>
        <w:t>Exhibit EU-01</w:t>
      </w:r>
      <w:r w:rsidRPr="00AE3AE3">
        <w:rPr>
          <w:rFonts w:ascii="TimesNewRomanPS" w:hAnsi="TimesNewRomanPS"/>
        </w:rPr>
        <w:t xml:space="preserve">; </w:t>
      </w:r>
      <w:r w:rsidRPr="00AE3AE3">
        <w:rPr>
          <w:rFonts w:ascii="TimesNewRomanPS" w:hAnsi="TimesNewRomanPS"/>
          <w:b/>
        </w:rPr>
        <w:t>Exhibit UKR-02</w:t>
      </w:r>
      <w:r w:rsidRPr="00AE3AE3">
        <w:rPr>
          <w:rFonts w:ascii="TimesNewRomanPS" w:hAnsi="TimesNewRomanPS"/>
        </w:rPr>
        <w:t>.</w:t>
      </w:r>
    </w:p>
  </w:footnote>
  <w:footnote w:id="77">
    <w:p w14:paraId="4E8DE01E" w14:textId="2B706B2B" w:rsidR="0075428B" w:rsidRPr="00AE3AE3" w:rsidRDefault="0075428B" w:rsidP="008C54F8">
      <w:pPr>
        <w:pStyle w:val="af4"/>
        <w:rPr>
          <w:rFonts w:ascii="TimesNewRomanPS" w:hAnsi="TimesNewRomanPS"/>
          <w:b/>
          <w:lang w:eastAsia="en-U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rPr>
        <w:t>Ukraine’s Written Submission, para. 47; Ukraine’s Answers to the First List of Questions, paras. 104 and 106; Provisional Opening Oral Statement of Ukraine, paras. 27, 29.</w:t>
      </w:r>
    </w:p>
  </w:footnote>
  <w:footnote w:id="78">
    <w:p w14:paraId="43969F2B" w14:textId="50C278E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rPr>
        <w:t>Ukraine’s Answers to the First List of Questions, para. 104.</w:t>
      </w:r>
    </w:p>
  </w:footnote>
  <w:footnote w:id="79">
    <w:p w14:paraId="2FF9B84F" w14:textId="2949791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The Forest Code of Ukraine contains Article 56 titled “Forest Certification”.</w:t>
      </w:r>
    </w:p>
  </w:footnote>
  <w:footnote w:id="80">
    <w:p w14:paraId="6BEE2ABF" w14:textId="33AEDA7E"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eastAsia="TimesNewRomanPS" w:hAnsi="TimesNewRomanPS"/>
        </w:rPr>
        <w:t xml:space="preserve">Ukraine’s Written Submission, para. 50; </w:t>
      </w:r>
      <w:r w:rsidRPr="00AE3AE3">
        <w:rPr>
          <w:rFonts w:ascii="TimesNewRomanPS" w:hAnsi="TimesNewRomanPS"/>
        </w:rPr>
        <w:t>Ukraine’s Answers to the First List of Questions, paras. 73 and 104.</w:t>
      </w:r>
    </w:p>
  </w:footnote>
  <w:footnote w:id="81">
    <w:p w14:paraId="3777D4B3" w14:textId="47DB7496" w:rsidR="0075428B" w:rsidRPr="00AE3AE3" w:rsidRDefault="0075428B" w:rsidP="008C54F8">
      <w:pPr>
        <w:pStyle w:val="af4"/>
        <w:keepLines/>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rPr>
        <w:t>Ukraine’s Written Submission, para. 49; Ukraine’s Answers to the First List of Questions, paras. 17 and 104 (with regard to paras. 17 and 18 of Ukraine’s Answers to the First List of Questions, please see Ukraine’s corrections to those paras. made at footnote 98 to para. 128(b)(iii) of the Provisional Opening Oral Statement of Ukraine).</w:t>
      </w:r>
    </w:p>
  </w:footnote>
  <w:footnote w:id="82">
    <w:p w14:paraId="11D70BAD" w14:textId="01B2391A"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Forest Code of Ukraine, No. 3852-XII, 21 January 1994, Article 86, </w:t>
      </w:r>
      <w:r w:rsidRPr="00AE3AE3">
        <w:rPr>
          <w:rFonts w:ascii="TimesNewRomanPS" w:hAnsi="TimesNewRomanPS"/>
          <w:b/>
        </w:rPr>
        <w:t>Exhibit UKR-54</w:t>
      </w:r>
      <w:r w:rsidRPr="00AE3AE3">
        <w:rPr>
          <w:rFonts w:ascii="TimesNewRomanPS" w:hAnsi="TimesNewRomanPS"/>
        </w:rPr>
        <w:t>.</w:t>
      </w:r>
    </w:p>
  </w:footnote>
  <w:footnote w:id="83">
    <w:p w14:paraId="01E79C2E" w14:textId="5E2767C5"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Answers to the First List of Questions</w:t>
      </w:r>
      <w:r w:rsidRPr="00AE3AE3">
        <w:rPr>
          <w:rFonts w:ascii="TimesNewRomanPS" w:eastAsia="Calibri" w:hAnsi="TimesNewRomanPS"/>
        </w:rPr>
        <w:t>, para. 103.</w:t>
      </w:r>
    </w:p>
  </w:footnote>
  <w:footnote w:id="84">
    <w:p w14:paraId="13CC2AB8" w14:textId="20E0A00C"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Answers to the First List of Questions, para. 58.</w:t>
      </w:r>
    </w:p>
  </w:footnote>
  <w:footnote w:id="85">
    <w:p w14:paraId="741143FC" w14:textId="04FB98DD"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Forest Code of Ukraine, No. 3852-XII, 21 January 1994, Articles 14 and 19, </w:t>
      </w:r>
      <w:r w:rsidRPr="00AE3AE3">
        <w:rPr>
          <w:rFonts w:ascii="TimesNewRomanPS" w:hAnsi="TimesNewRomanPS"/>
          <w:b/>
        </w:rPr>
        <w:t>Exhibit UKR-39</w:t>
      </w:r>
      <w:r w:rsidRPr="00AE3AE3">
        <w:rPr>
          <w:rFonts w:ascii="TimesNewRomanPS" w:hAnsi="TimesNewRomanPS"/>
        </w:rPr>
        <w:t>.</w:t>
      </w:r>
    </w:p>
  </w:footnote>
  <w:footnote w:id="86">
    <w:p w14:paraId="75B4706A" w14:textId="4669E805"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Answers to the First List of Questions, para. 58.</w:t>
      </w:r>
    </w:p>
  </w:footnote>
  <w:footnote w:id="87">
    <w:p w14:paraId="02225F19" w14:textId="77777777"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Ukraine’s Written Submission, para. 80.</w:t>
      </w:r>
    </w:p>
  </w:footnote>
  <w:footnote w:id="88">
    <w:p w14:paraId="7110B236" w14:textId="6246F179"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w:t>
      </w:r>
      <w:r w:rsidRPr="00AE3AE3">
        <w:rPr>
          <w:rFonts w:ascii="TimesNewRomanPS" w:hAnsi="TimesNewRomanPS"/>
          <w:i/>
        </w:rPr>
        <w:t>“On Elements of the State Regulation of Business Operators’ Activities Related to the Sale and Export of Timber”</w:t>
      </w:r>
      <w:r w:rsidRPr="00AE3AE3">
        <w:rPr>
          <w:rFonts w:ascii="TimesNewRomanPS" w:hAnsi="TimesNewRomanPS"/>
        </w:rPr>
        <w:t xml:space="preserve">, No.  2860-IV, 8 September 2005, </w:t>
      </w:r>
      <w:r w:rsidRPr="00AE3AE3">
        <w:rPr>
          <w:rFonts w:ascii="TimesNewRomanPS" w:hAnsi="TimesNewRomanPS"/>
          <w:b/>
        </w:rPr>
        <w:t>Exhibit UKR-2</w:t>
      </w:r>
      <w:r w:rsidRPr="00AE3AE3">
        <w:rPr>
          <w:rFonts w:ascii="TimesNewRomanPS" w:hAnsi="TimesNewRomanPS"/>
        </w:rPr>
        <w:t>.</w:t>
      </w:r>
    </w:p>
  </w:footnote>
  <w:footnote w:id="89">
    <w:p w14:paraId="0E1ED6BC" w14:textId="0AFDDFC3"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Law of Ukraine </w:t>
      </w:r>
      <w:r w:rsidRPr="00AE3AE3">
        <w:rPr>
          <w:rFonts w:ascii="TimesNewRomanPS" w:hAnsi="TimesNewRomanPS"/>
          <w:i/>
        </w:rPr>
        <w:t>“On Elements of the State Regulation of Business Operators’ Activities Related to the Sale and Export of Timber”</w:t>
      </w:r>
      <w:r w:rsidRPr="00AE3AE3">
        <w:rPr>
          <w:rFonts w:ascii="TimesNewRomanPS" w:hAnsi="TimesNewRomanPS"/>
        </w:rPr>
        <w:t xml:space="preserve">, No.  2860-IV, 8 September 2005, Article 2-1, </w:t>
      </w:r>
      <w:r w:rsidRPr="00AE3AE3">
        <w:rPr>
          <w:rFonts w:ascii="TimesNewRomanPS" w:hAnsi="TimesNewRomanPS"/>
          <w:b/>
        </w:rPr>
        <w:t>Exhibit UKR-2</w:t>
      </w:r>
      <w:r w:rsidRPr="00AE3AE3">
        <w:rPr>
          <w:rFonts w:ascii="TimesNewRomanPS" w:hAnsi="TimesNewRomanPS"/>
        </w:rPr>
        <w:t>.</w:t>
      </w:r>
    </w:p>
  </w:footnote>
  <w:footnote w:id="90">
    <w:p w14:paraId="1155064E" w14:textId="612BB104"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w:t>
      </w:r>
      <w:r w:rsidRPr="00AE3AE3">
        <w:rPr>
          <w:rFonts w:ascii="TimesNewRomanPS" w:hAnsi="TimesNewRomanPS"/>
          <w:i/>
        </w:rPr>
        <w:t>“On Elements of the State Regulation of Business Operators’ Activities Related to the Sale and Export of Timber”</w:t>
      </w:r>
      <w:r w:rsidRPr="00AE3AE3">
        <w:rPr>
          <w:rFonts w:ascii="TimesNewRomanPS" w:hAnsi="TimesNewRomanPS"/>
        </w:rPr>
        <w:t xml:space="preserve">, No.  2860-IV, 8 September 2005, </w:t>
      </w:r>
      <w:r w:rsidRPr="00AE3AE3">
        <w:rPr>
          <w:rFonts w:ascii="TimesNewRomanPS" w:hAnsi="TimesNewRomanPS"/>
          <w:b/>
        </w:rPr>
        <w:t xml:space="preserve">Exhibit UKR-2; </w:t>
      </w:r>
      <w:r w:rsidRPr="00AE3AE3">
        <w:rPr>
          <w:rFonts w:ascii="TimesNewRomanPS" w:hAnsi="TimesNewRomanPS"/>
        </w:rPr>
        <w:t xml:space="preserve">i.e. the version effective from 1 January 2019 as amended, inter alia, by (1) Law of Ukraine No. 325-VIII, dated 9 April 2015, that has introduced the “2015 temporary export ban” and (2) Law of Ukraine No. </w:t>
      </w:r>
      <w:r w:rsidRPr="00AE3AE3">
        <w:rPr>
          <w:rStyle w:val="rvts44"/>
          <w:rFonts w:ascii="TimesNewRomanPS" w:hAnsi="TimesNewRomanPS"/>
        </w:rPr>
        <w:t>2531-VIII</w:t>
      </w:r>
      <w:r w:rsidRPr="00AE3AE3">
        <w:rPr>
          <w:rFonts w:ascii="TimesNewRomanPS" w:hAnsi="TimesNewRomanPS"/>
        </w:rPr>
        <w:t>, dated 6 September 2018, that has introduced the 25 million cubic meter consumption plan.</w:t>
      </w:r>
    </w:p>
  </w:footnote>
  <w:footnote w:id="91">
    <w:p w14:paraId="69139F1E" w14:textId="35A9E69D"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Law of Ukraine “On Amendments to Certain Legislative Acts of Ukraine on the Preservation of Ukrainian Forests and preventing the illegal export of rough timber”, No. 2531-VIII, 6 September 2018, </w:t>
      </w:r>
      <w:r w:rsidRPr="00AE3AE3">
        <w:rPr>
          <w:rFonts w:ascii="TimesNewRomanPS" w:hAnsi="TimesNewRomanPS"/>
          <w:b/>
        </w:rPr>
        <w:t>Exhibit UKR-06</w:t>
      </w:r>
      <w:r w:rsidRPr="00AE3AE3">
        <w:rPr>
          <w:rFonts w:ascii="TimesNewRomanPS" w:hAnsi="TimesNewRomanPS"/>
        </w:rPr>
        <w:t>.</w:t>
      </w:r>
    </w:p>
  </w:footnote>
  <w:footnote w:id="92">
    <w:p w14:paraId="0A42FB83" w14:textId="2119BFEE"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w:t>
      </w:r>
      <w:r w:rsidRPr="00AE3AE3">
        <w:rPr>
          <w:rFonts w:ascii="TimesNewRomanPS" w:hAnsi="TimesNewRomanPS"/>
          <w:i/>
        </w:rPr>
        <w:t xml:space="preserve"> </w:t>
      </w:r>
      <w:r w:rsidRPr="00AE3AE3">
        <w:rPr>
          <w:rFonts w:ascii="TimesNewRomanPS" w:hAnsi="TimesNewRomanPS"/>
        </w:rPr>
        <w:t>Ukraine’s Written Submission, paras. 288-290; Ukraine’s Answers to the First List of Questions, paras. 218-219; Provisional Opening Oral Statement of Ukraine, paras. 128-129.</w:t>
      </w:r>
    </w:p>
  </w:footnote>
  <w:footnote w:id="93">
    <w:p w14:paraId="29988A4C" w14:textId="27F319CD"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Ukraine’s Written Submission, Table 5 to para. 139; Ukraine’s Answers to the First List of Questions, para. 108; Provisional Opening Oral Statement of Ukraine, para. 14.</w:t>
      </w:r>
    </w:p>
  </w:footnote>
  <w:footnote w:id="94">
    <w:p w14:paraId="1CEE3564" w14:textId="3E4D9C51"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w:t>
      </w:r>
      <w:r w:rsidRPr="00AE3AE3">
        <w:rPr>
          <w:rFonts w:ascii="TimesNewRomanPS" w:hAnsi="TimesNewRomanPS"/>
          <w:b/>
        </w:rPr>
        <w:t>Exhibit EU-9</w:t>
      </w:r>
      <w:r w:rsidRPr="00AE3AE3">
        <w:rPr>
          <w:rFonts w:ascii="TimesNewRomanPS" w:hAnsi="TimesNewRomanPS"/>
        </w:rPr>
        <w:t>.</w:t>
      </w:r>
    </w:p>
  </w:footnote>
  <w:footnote w:id="95">
    <w:p w14:paraId="12FE7C30" w14:textId="428DF3EB"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Response by the European Union to the First List of Questions to the Parties, para. 242.</w:t>
      </w:r>
    </w:p>
  </w:footnote>
  <w:footnote w:id="96">
    <w:p w14:paraId="555088CE" w14:textId="2ED2AD31"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217.</w:t>
      </w:r>
    </w:p>
  </w:footnote>
  <w:footnote w:id="97">
    <w:p w14:paraId="3D939201" w14:textId="6070EF98" w:rsidR="0075428B" w:rsidRPr="00AE3AE3" w:rsidRDefault="0075428B">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Ukraine’s Written Submission, paras. 190-348; Ukraine’s Answers to the First List of Questions</w:t>
      </w:r>
      <w:r>
        <w:rPr>
          <w:rFonts w:ascii="TimesNewRomanPS" w:eastAsia="Calibri" w:hAnsi="TimesNewRomanPS"/>
        </w:rPr>
        <w:t>, paras.</w:t>
      </w:r>
      <w:r>
        <w:rPr>
          <w:rFonts w:ascii="TimesNewRomanPS" w:eastAsia="Calibri" w:hAnsi="TimesNewRomanPS" w:hint="eastAsia"/>
        </w:rPr>
        <w:t> </w:t>
      </w:r>
      <w:r w:rsidRPr="00AE3AE3">
        <w:rPr>
          <w:rFonts w:ascii="TimesNewRomanPS" w:eastAsia="Calibri" w:hAnsi="TimesNewRomanPS"/>
        </w:rPr>
        <w:t xml:space="preserve">162-246; </w:t>
      </w:r>
      <w:r w:rsidRPr="00AE3AE3">
        <w:rPr>
          <w:rFonts w:ascii="TimesNewRomanPS" w:hAnsi="TimesNewRomanPS"/>
        </w:rPr>
        <w:t>Provisional Opening Oral Statement of Ukraine, paras. 52-130</w:t>
      </w:r>
      <w:r w:rsidRPr="00AE3AE3">
        <w:rPr>
          <w:rFonts w:ascii="TimesNewRomanPS" w:eastAsia="Calibri" w:hAnsi="TimesNewRomanPS"/>
        </w:rPr>
        <w:t>.</w:t>
      </w:r>
    </w:p>
  </w:footnote>
  <w:footnote w:id="98">
    <w:p w14:paraId="549EA6FE" w14:textId="5E56B635"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Provisional Opening Oral Statement of Ukraine, para. 11.</w:t>
      </w:r>
    </w:p>
  </w:footnote>
  <w:footnote w:id="99">
    <w:p w14:paraId="3B8D9644" w14:textId="77777777" w:rsidR="0075428B" w:rsidRPr="00AE3AE3" w:rsidRDefault="0075428B" w:rsidP="008C54F8">
      <w:pPr>
        <w:pStyle w:val="af4"/>
        <w:rPr>
          <w:rFonts w:ascii="TimesNewRomanPS" w:hAnsi="TimesNewRomanPS"/>
          <w:lang w:eastAsia="en-US"/>
        </w:rPr>
      </w:pPr>
      <w:r w:rsidRPr="00AE3AE3">
        <w:rPr>
          <w:rStyle w:val="af6"/>
          <w:rFonts w:ascii="TimesNewRomanPS" w:hAnsi="TimesNewRomanPS"/>
        </w:rPr>
        <w:footnoteRef/>
      </w:r>
      <w:r w:rsidRPr="00AE3AE3">
        <w:rPr>
          <w:rFonts w:ascii="TimesNewRomanPS" w:hAnsi="TimesNewRomanPS"/>
        </w:rPr>
        <w:t xml:space="preserve"> Public Annual Report (2019) of the State Forest Resources Agency of Ukraine</w:t>
      </w:r>
      <w:r w:rsidRPr="00AE3AE3">
        <w:rPr>
          <w:rFonts w:ascii="TimesNewRomanPS" w:eastAsia="TimesNewRomanPS" w:hAnsi="TimesNewRomanPS"/>
        </w:rPr>
        <w:t xml:space="preserve">, Chapter I (p. 3), </w:t>
      </w:r>
      <w:r w:rsidRPr="00AE3AE3">
        <w:rPr>
          <w:rFonts w:ascii="TimesNewRomanPS" w:eastAsia="TimesNewRomanPS" w:hAnsi="TimesNewRomanPS"/>
          <w:b/>
        </w:rPr>
        <w:t>Exhibit UKR-01</w:t>
      </w:r>
      <w:r w:rsidRPr="00AE3AE3">
        <w:rPr>
          <w:rFonts w:ascii="TimesNewRomanPS" w:eastAsia="TimesNewRomanPS" w:hAnsi="TimesNewRomanPS"/>
        </w:rPr>
        <w:t>;</w:t>
      </w:r>
      <w:r w:rsidRPr="00AE3AE3">
        <w:rPr>
          <w:rFonts w:ascii="TimesNewRomanPS" w:eastAsia="TimesNewRomanPS" w:hAnsi="TimesNewRomanPS"/>
          <w:b/>
        </w:rPr>
        <w:t xml:space="preserve"> </w:t>
      </w:r>
      <w:r w:rsidRPr="00AE3AE3">
        <w:rPr>
          <w:rFonts w:ascii="TimesNewRomanPS" w:eastAsia="TimesNewRomanPS" w:hAnsi="TimesNewRomanPS"/>
        </w:rPr>
        <w:t>Ukraine’s Written Submission, para. 27.</w:t>
      </w:r>
    </w:p>
  </w:footnote>
  <w:footnote w:id="100">
    <w:p w14:paraId="0A98E6A6" w14:textId="32A29A12"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To remind, all Ukrainian lands are divided into categories depending on what the designated purpose of certain land is. Forest lands have their own category. Not all forest lands are covered by forests or other plants meaning that this cannot make a given area to be counted as a part of the woodland. Therefore, the State Forest Resources Agency of Ukraine has never counted those not-covered-by-forests areas as woodland; </w:t>
      </w:r>
      <w:r w:rsidRPr="00AE3AE3">
        <w:rPr>
          <w:rFonts w:ascii="TimesNewRomanPS" w:hAnsi="TimesNewRomanPS"/>
          <w:i/>
        </w:rPr>
        <w:t xml:space="preserve">See </w:t>
      </w:r>
      <w:r w:rsidRPr="00AE3AE3">
        <w:rPr>
          <w:rFonts w:ascii="TimesNewRomanPS" w:hAnsi="TimesNewRomanPS"/>
        </w:rPr>
        <w:t>Ukraine’s Answers to the First List of Questions, para. 12; Provisional Opening Oral Statement of Ukraine, footnote 18 to para. 19.</w:t>
      </w:r>
    </w:p>
  </w:footnote>
  <w:footnote w:id="101">
    <w:p w14:paraId="41C90F76" w14:textId="77777777" w:rsidR="0075428B" w:rsidRPr="00AE3AE3" w:rsidRDefault="0075428B" w:rsidP="00CD2BB0">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To remind, only 73% of all forest lands “[are] used by forestry enterprises coordinated by the State Forest </w:t>
      </w:r>
      <w:r w:rsidRPr="00AE3AE3">
        <w:rPr>
          <w:rFonts w:ascii="TimesNewRomanPS" w:eastAsia="TimesNewRomanPS" w:hAnsi="TimesNewRomanPS"/>
        </w:rPr>
        <w:t>Resources</w:t>
      </w:r>
      <w:r w:rsidRPr="00AE3AE3">
        <w:rPr>
          <w:rFonts w:ascii="TimesNewRomanPS" w:hAnsi="TimesNewRomanPS"/>
        </w:rPr>
        <w:t xml:space="preserve"> Agency”; See Public Annual Report (2019) of the State Forest Resources Agency of Ukraine, Chapter I (p. 6), </w:t>
      </w:r>
      <w:r w:rsidRPr="00AE3AE3">
        <w:rPr>
          <w:rFonts w:ascii="TimesNewRomanPS" w:hAnsi="TimesNewRomanPS"/>
          <w:b/>
        </w:rPr>
        <w:t>Exhibit UKR-01</w:t>
      </w:r>
      <w:r w:rsidRPr="00AE3AE3">
        <w:rPr>
          <w:rFonts w:ascii="TimesNewRomanPS" w:hAnsi="TimesNewRomanPS"/>
          <w:bCs/>
        </w:rPr>
        <w:t xml:space="preserve">; </w:t>
      </w:r>
      <w:r w:rsidRPr="00AE3AE3">
        <w:rPr>
          <w:rFonts w:ascii="TimesNewRomanPS" w:hAnsi="TimesNewRomanPS"/>
        </w:rPr>
        <w:t>Ukraine’s Answers to the First List of Questions, paras. 10-14.</w:t>
      </w:r>
    </w:p>
  </w:footnote>
  <w:footnote w:id="102">
    <w:p w14:paraId="333E79C0" w14:textId="148029A9"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Ukraine’s Answers to the First List of Questions, paras. 3 and 7(a).</w:t>
      </w:r>
    </w:p>
  </w:footnote>
  <w:footnote w:id="103">
    <w:p w14:paraId="3284F6F9" w14:textId="60307FF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paras. 19 and 113.</w:t>
      </w:r>
    </w:p>
  </w:footnote>
  <w:footnote w:id="104">
    <w:p w14:paraId="0E461D58" w14:textId="77777777" w:rsidR="0075428B" w:rsidRPr="00AE3AE3" w:rsidRDefault="0075428B" w:rsidP="00AC03D7">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Law of Ukraine “On Amendments to Certain Legislative Acts of Ukraine on the Preservation of Ukrainian Forests and preventing the illegal export of rough timber”, No. 2531-VIII, 6 September 2018, </w:t>
      </w:r>
      <w:r w:rsidRPr="00AE3AE3">
        <w:rPr>
          <w:rFonts w:ascii="TimesNewRomanPS" w:hAnsi="TimesNewRomanPS"/>
          <w:b/>
        </w:rPr>
        <w:t>Exhibit UKR-06.</w:t>
      </w:r>
      <w:r w:rsidRPr="00AE3AE3">
        <w:rPr>
          <w:rFonts w:ascii="TimesNewRomanPS" w:hAnsi="TimesNewRomanPS"/>
        </w:rPr>
        <w:t xml:space="preserve"> See also Ukraine’s Written Submission, paras. 92-96.</w:t>
      </w:r>
    </w:p>
  </w:footnote>
  <w:footnote w:id="105">
    <w:p w14:paraId="063BC9B0" w14:textId="4CF458F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hyperlink r:id="rId6" w:history="1">
        <w:r w:rsidRPr="00AE3AE3">
          <w:rPr>
            <w:rStyle w:val="af2"/>
            <w:rFonts w:ascii="TimesNewRomanPS" w:hAnsi="TimesNewRomanPS"/>
          </w:rPr>
          <w:t>http://w1.c1.rada.gov.ua/pls/zweb2/webproc4_1?pf3511=60642</w:t>
        </w:r>
      </w:hyperlink>
    </w:p>
  </w:footnote>
  <w:footnote w:id="106">
    <w:p w14:paraId="251FB8C3" w14:textId="3FA9FC86"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also Written Submission by the European Union, paras. 35-37.</w:t>
      </w:r>
    </w:p>
  </w:footnote>
  <w:footnote w:id="107">
    <w:p w14:paraId="03A69EE9" w14:textId="680D73CD"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See Law of Ukraine “On Amendments to Certain Legislative Acts of Ukraine on the Preservation of Ukrainian Forests and preventing the illegal export of rough timber”, No. 2531-VIII, 6 September 2018, para. 1 of Chapter II, </w:t>
      </w:r>
      <w:r w:rsidRPr="00AE3AE3">
        <w:rPr>
          <w:rFonts w:ascii="TimesNewRomanPS" w:hAnsi="TimesNewRomanPS"/>
          <w:b/>
        </w:rPr>
        <w:t>Exhibit UKR-06</w:t>
      </w:r>
      <w:r w:rsidRPr="00AE3AE3">
        <w:rPr>
          <w:rFonts w:ascii="TimesNewRomanPS" w:hAnsi="TimesNewRomanPS"/>
        </w:rPr>
        <w:t>.</w:t>
      </w:r>
    </w:p>
  </w:footnote>
  <w:footnote w:id="108">
    <w:p w14:paraId="6DB37448" w14:textId="60F71FE8" w:rsidR="0075428B" w:rsidRPr="00AE3AE3" w:rsidRDefault="0075428B" w:rsidP="008C54F8">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Decision on Notification Procedures for Quantitative Restrictions, G/L/59/Rev.1, 3 July 2012, para. 1.</w:t>
      </w:r>
    </w:p>
  </w:footnote>
  <w:footnote w:id="109">
    <w:p w14:paraId="72C26371" w14:textId="44750039" w:rsidR="0075428B" w:rsidRPr="00AE3AE3" w:rsidRDefault="0075428B">
      <w:pPr>
        <w:pStyle w:val="af4"/>
        <w:rPr>
          <w:rFonts w:ascii="TimesNewRomanPS" w:hAnsi="TimesNewRomanPS"/>
        </w:rPr>
      </w:pPr>
      <w:r w:rsidRPr="00AE3AE3">
        <w:rPr>
          <w:rStyle w:val="af6"/>
          <w:rFonts w:ascii="TimesNewRomanPS" w:hAnsi="TimesNewRomanPS"/>
        </w:rPr>
        <w:footnoteRef/>
      </w:r>
      <w:r w:rsidRPr="00AE3AE3">
        <w:rPr>
          <w:rFonts w:ascii="TimesNewRomanPS" w:hAnsi="TimesNewRomanPS"/>
        </w:rPr>
        <w:t xml:space="preserve"> </w:t>
      </w:r>
      <w:r w:rsidRPr="00AE3AE3">
        <w:rPr>
          <w:rFonts w:ascii="TimesNewRomanPS" w:hAnsi="TimesNewRomanPS"/>
          <w:i/>
        </w:rPr>
        <w:t>Ibid</w:t>
      </w:r>
      <w:r w:rsidRPr="00AE3AE3">
        <w:rPr>
          <w:rFonts w:ascii="TimesNewRomanPS" w:hAnsi="TimesNewRomanPS"/>
        </w:rPr>
        <w:t>, para. 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7"/>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820"/>
    </w:tblGrid>
    <w:tr w:rsidR="0075428B" w:rsidRPr="00E943CA" w14:paraId="56F0F0F5" w14:textId="77777777" w:rsidTr="008C6957">
      <w:tc>
        <w:tcPr>
          <w:tcW w:w="4531" w:type="dxa"/>
        </w:tcPr>
        <w:p w14:paraId="63C14021" w14:textId="735F66A2" w:rsidR="0075428B" w:rsidRDefault="0075428B" w:rsidP="009B2F85">
          <w:pPr>
            <w:ind w:right="-426"/>
            <w:rPr>
              <w:rFonts w:ascii="TimesNewRomanPS" w:hAnsi="TimesNewRomanPS"/>
              <w:i/>
              <w:lang w:val="en-US"/>
            </w:rPr>
          </w:pPr>
          <w:r w:rsidRPr="00A96E05">
            <w:rPr>
              <w:rFonts w:ascii="TimesNewRomanPS" w:hAnsi="TimesNewRomanPS"/>
              <w:i/>
              <w:lang w:val="en-US"/>
            </w:rPr>
            <w:t>Ukraine – Measures related to certain</w:t>
          </w:r>
          <w:r>
            <w:rPr>
              <w:rFonts w:ascii="TimesNewRomanPS" w:hAnsi="TimesNewRomanPS"/>
              <w:i/>
              <w:lang w:val="en-US"/>
            </w:rPr>
            <w:br/>
          </w:r>
          <w:r w:rsidRPr="00A96E05">
            <w:rPr>
              <w:rFonts w:ascii="TimesNewRomanPS" w:hAnsi="TimesNewRomanPS"/>
              <w:i/>
              <w:lang w:val="en-US"/>
            </w:rPr>
            <w:t>Ukrainian Export Restrictions on Wood</w:t>
          </w:r>
        </w:p>
      </w:tc>
      <w:tc>
        <w:tcPr>
          <w:tcW w:w="4820" w:type="dxa"/>
        </w:tcPr>
        <w:p w14:paraId="55F0E714" w14:textId="46FEA150" w:rsidR="0075428B" w:rsidRPr="003136D1" w:rsidRDefault="0075428B" w:rsidP="003136D1">
          <w:pPr>
            <w:ind w:right="25"/>
            <w:jc w:val="right"/>
            <w:rPr>
              <w:rFonts w:ascii="TimesNewRomanPS" w:hAnsi="TimesNewRomanPS"/>
              <w:i/>
              <w:lang w:val="en-US"/>
            </w:rPr>
          </w:pPr>
          <w:r w:rsidRPr="003136D1">
            <w:rPr>
              <w:rFonts w:ascii="TimesNewRomanPS" w:hAnsi="TimesNewRomanPS"/>
              <w:i/>
              <w:lang w:val="en-US"/>
            </w:rPr>
            <w:t>Ukraine</w:t>
          </w:r>
          <w:r w:rsidRPr="003136D1">
            <w:rPr>
              <w:rFonts w:ascii="TimesNewRomanPS" w:hAnsi="TimesNewRomanPS" w:hint="eastAsia"/>
              <w:i/>
              <w:lang w:val="en-US"/>
            </w:rPr>
            <w:t>’</w:t>
          </w:r>
          <w:r w:rsidRPr="003136D1">
            <w:rPr>
              <w:rFonts w:ascii="TimesNewRomanPS" w:hAnsi="TimesNewRomanPS"/>
              <w:i/>
              <w:lang w:val="en-US"/>
            </w:rPr>
            <w:t>s Answers to</w:t>
          </w:r>
        </w:p>
        <w:p w14:paraId="07C6211C" w14:textId="79D8F541" w:rsidR="0075428B" w:rsidRPr="00DD1788" w:rsidRDefault="0075428B" w:rsidP="003136D1">
          <w:pPr>
            <w:ind w:right="25"/>
            <w:jc w:val="right"/>
            <w:rPr>
              <w:rFonts w:ascii="TimesNewRomanPS" w:hAnsi="TimesNewRomanPS"/>
              <w:i/>
              <w:lang w:val="en-US"/>
            </w:rPr>
          </w:pPr>
          <w:r w:rsidRPr="003136D1">
            <w:rPr>
              <w:rFonts w:ascii="TimesNewRomanPS" w:hAnsi="TimesNewRomanPS"/>
              <w:i/>
              <w:lang w:val="en-US"/>
            </w:rPr>
            <w:t xml:space="preserve">the </w:t>
          </w:r>
          <w:r>
            <w:rPr>
              <w:rFonts w:ascii="TimesNewRomanPS" w:hAnsi="TimesNewRomanPS"/>
              <w:i/>
              <w:lang w:val="en-US"/>
            </w:rPr>
            <w:t xml:space="preserve">Arbitration </w:t>
          </w:r>
          <w:r w:rsidRPr="003136D1">
            <w:rPr>
              <w:rFonts w:ascii="TimesNewRomanPS" w:hAnsi="TimesNewRomanPS"/>
              <w:i/>
              <w:lang w:val="en-US"/>
            </w:rPr>
            <w:t>Panel</w:t>
          </w:r>
          <w:r w:rsidRPr="003136D1">
            <w:rPr>
              <w:rFonts w:ascii="TimesNewRomanPS" w:hAnsi="TimesNewRomanPS" w:hint="eastAsia"/>
              <w:i/>
              <w:lang w:val="en-US"/>
            </w:rPr>
            <w:t>’</w:t>
          </w:r>
          <w:r w:rsidRPr="003136D1">
            <w:rPr>
              <w:rFonts w:ascii="TimesNewRomanPS" w:hAnsi="TimesNewRomanPS"/>
              <w:i/>
              <w:lang w:val="en-US"/>
            </w:rPr>
            <w:t>s Questions</w:t>
          </w:r>
          <w:r>
            <w:rPr>
              <w:rFonts w:ascii="TimesNewRomanPS" w:hAnsi="TimesNewRomanPS"/>
              <w:i/>
              <w:lang w:val="en-US"/>
            </w:rPr>
            <w:br/>
          </w:r>
          <w:r w:rsidRPr="003136D1">
            <w:rPr>
              <w:rFonts w:ascii="TimesNewRomanPS" w:hAnsi="TimesNewRomanPS"/>
              <w:i/>
              <w:lang w:val="en-US"/>
            </w:rPr>
            <w:t>Addressed</w:t>
          </w:r>
          <w:r>
            <w:rPr>
              <w:rFonts w:ascii="TimesNewRomanPS" w:hAnsi="TimesNewRomanPS"/>
              <w:i/>
              <w:lang w:val="en-US"/>
            </w:rPr>
            <w:t xml:space="preserve"> </w:t>
          </w:r>
          <w:r w:rsidRPr="003136D1">
            <w:rPr>
              <w:rFonts w:ascii="TimesNewRomanPS" w:hAnsi="TimesNewRomanPS"/>
              <w:i/>
              <w:lang w:val="en-US"/>
            </w:rPr>
            <w:t>at the Hearings</w:t>
          </w:r>
        </w:p>
      </w:tc>
    </w:tr>
  </w:tbl>
  <w:p w14:paraId="641C0E30" w14:textId="00115064" w:rsidR="0075428B" w:rsidRPr="004D4FE5" w:rsidRDefault="0075428B">
    <w:pPr>
      <w:ind w:right="-426"/>
      <w:rPr>
        <w:rFonts w:ascii="TimesNewRomanPSMT" w:hAnsi="TimesNewRomanPSMT"/>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7"/>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820"/>
    </w:tblGrid>
    <w:tr w:rsidR="0075428B" w:rsidRPr="00DD1788" w14:paraId="6DACCCCC" w14:textId="77777777" w:rsidTr="009A290A">
      <w:tc>
        <w:tcPr>
          <w:tcW w:w="4531" w:type="dxa"/>
        </w:tcPr>
        <w:p w14:paraId="7FCBC9DA" w14:textId="77777777" w:rsidR="0075428B" w:rsidRDefault="0075428B" w:rsidP="00AA0495">
          <w:pPr>
            <w:ind w:right="-426"/>
            <w:rPr>
              <w:rFonts w:ascii="TimesNewRomanPS" w:hAnsi="TimesNewRomanPS"/>
              <w:i/>
              <w:lang w:val="en-US"/>
            </w:rPr>
          </w:pPr>
          <w:r w:rsidRPr="00A96E05">
            <w:rPr>
              <w:rFonts w:ascii="TimesNewRomanPS" w:hAnsi="TimesNewRomanPS"/>
              <w:i/>
              <w:lang w:val="en-US"/>
            </w:rPr>
            <w:t>Ukraine – Measures related to certain</w:t>
          </w:r>
          <w:r>
            <w:rPr>
              <w:rFonts w:ascii="TimesNewRomanPS" w:hAnsi="TimesNewRomanPS"/>
              <w:i/>
              <w:lang w:val="en-US"/>
            </w:rPr>
            <w:br/>
          </w:r>
          <w:r w:rsidRPr="00A96E05">
            <w:rPr>
              <w:rFonts w:ascii="TimesNewRomanPS" w:hAnsi="TimesNewRomanPS"/>
              <w:i/>
              <w:lang w:val="en-US"/>
            </w:rPr>
            <w:t>Ukrainian Export Restrictions on Wood</w:t>
          </w:r>
        </w:p>
      </w:tc>
      <w:tc>
        <w:tcPr>
          <w:tcW w:w="4820" w:type="dxa"/>
        </w:tcPr>
        <w:p w14:paraId="480B9D24" w14:textId="77777777" w:rsidR="0075428B" w:rsidRPr="003136D1" w:rsidRDefault="0075428B" w:rsidP="00AA0495">
          <w:pPr>
            <w:ind w:right="25"/>
            <w:jc w:val="right"/>
            <w:rPr>
              <w:rFonts w:ascii="TimesNewRomanPS" w:hAnsi="TimesNewRomanPS"/>
              <w:i/>
              <w:lang w:val="en-US"/>
            </w:rPr>
          </w:pPr>
          <w:r w:rsidRPr="003136D1">
            <w:rPr>
              <w:rFonts w:ascii="TimesNewRomanPS" w:hAnsi="TimesNewRomanPS"/>
              <w:i/>
              <w:lang w:val="en-US"/>
            </w:rPr>
            <w:t>Ukraine</w:t>
          </w:r>
          <w:r w:rsidRPr="003136D1">
            <w:rPr>
              <w:rFonts w:ascii="TimesNewRomanPS" w:hAnsi="TimesNewRomanPS" w:hint="eastAsia"/>
              <w:i/>
              <w:lang w:val="en-US"/>
            </w:rPr>
            <w:t>’</w:t>
          </w:r>
          <w:r w:rsidRPr="003136D1">
            <w:rPr>
              <w:rFonts w:ascii="TimesNewRomanPS" w:hAnsi="TimesNewRomanPS"/>
              <w:i/>
              <w:lang w:val="en-US"/>
            </w:rPr>
            <w:t>s Answers to</w:t>
          </w:r>
        </w:p>
        <w:p w14:paraId="00984C1E" w14:textId="77777777" w:rsidR="0075428B" w:rsidRPr="00DD1788" w:rsidRDefault="0075428B" w:rsidP="00AA0495">
          <w:pPr>
            <w:ind w:right="25"/>
            <w:jc w:val="right"/>
            <w:rPr>
              <w:rFonts w:ascii="TimesNewRomanPS" w:hAnsi="TimesNewRomanPS"/>
              <w:i/>
              <w:lang w:val="en-US"/>
            </w:rPr>
          </w:pPr>
          <w:r w:rsidRPr="003136D1">
            <w:rPr>
              <w:rFonts w:ascii="TimesNewRomanPS" w:hAnsi="TimesNewRomanPS"/>
              <w:i/>
              <w:lang w:val="en-US"/>
            </w:rPr>
            <w:t xml:space="preserve">the </w:t>
          </w:r>
          <w:r>
            <w:rPr>
              <w:rFonts w:ascii="TimesNewRomanPS" w:hAnsi="TimesNewRomanPS"/>
              <w:i/>
              <w:lang w:val="en-US"/>
            </w:rPr>
            <w:t xml:space="preserve">Arbitration </w:t>
          </w:r>
          <w:r w:rsidRPr="003136D1">
            <w:rPr>
              <w:rFonts w:ascii="TimesNewRomanPS" w:hAnsi="TimesNewRomanPS"/>
              <w:i/>
              <w:lang w:val="en-US"/>
            </w:rPr>
            <w:t>Panel</w:t>
          </w:r>
          <w:r w:rsidRPr="003136D1">
            <w:rPr>
              <w:rFonts w:ascii="TimesNewRomanPS" w:hAnsi="TimesNewRomanPS" w:hint="eastAsia"/>
              <w:i/>
              <w:lang w:val="en-US"/>
            </w:rPr>
            <w:t>’</w:t>
          </w:r>
          <w:r w:rsidRPr="003136D1">
            <w:rPr>
              <w:rFonts w:ascii="TimesNewRomanPS" w:hAnsi="TimesNewRomanPS"/>
              <w:i/>
              <w:lang w:val="en-US"/>
            </w:rPr>
            <w:t>s Questions</w:t>
          </w:r>
          <w:r>
            <w:rPr>
              <w:rFonts w:ascii="TimesNewRomanPS" w:hAnsi="TimesNewRomanPS"/>
              <w:i/>
              <w:lang w:val="en-US"/>
            </w:rPr>
            <w:br/>
          </w:r>
          <w:r w:rsidRPr="003136D1">
            <w:rPr>
              <w:rFonts w:ascii="TimesNewRomanPS" w:hAnsi="TimesNewRomanPS"/>
              <w:i/>
              <w:lang w:val="en-US"/>
            </w:rPr>
            <w:t>Addressed</w:t>
          </w:r>
          <w:r>
            <w:rPr>
              <w:rFonts w:ascii="TimesNewRomanPS" w:hAnsi="TimesNewRomanPS"/>
              <w:i/>
              <w:lang w:val="en-US"/>
            </w:rPr>
            <w:t xml:space="preserve"> </w:t>
          </w:r>
          <w:r w:rsidRPr="003136D1">
            <w:rPr>
              <w:rFonts w:ascii="TimesNewRomanPS" w:hAnsi="TimesNewRomanPS"/>
              <w:i/>
              <w:lang w:val="en-US"/>
            </w:rPr>
            <w:t>at the Hearings</w:t>
          </w:r>
        </w:p>
      </w:tc>
    </w:tr>
  </w:tbl>
  <w:p w14:paraId="40834371" w14:textId="3C279837" w:rsidR="0075428B" w:rsidRPr="004D4FE5" w:rsidRDefault="0075428B" w:rsidP="004D4FE5">
    <w:pPr>
      <w:ind w:right="-426"/>
      <w:rPr>
        <w:rFonts w:ascii="TimesNewRomanPSMT" w:hAnsi="TimesNewRomanPSMT"/>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76C74"/>
    <w:multiLevelType w:val="hybridMultilevel"/>
    <w:tmpl w:val="B0C026AA"/>
    <w:lvl w:ilvl="0" w:tplc="0A7EEB68">
      <w:start w:val="1"/>
      <w:numFmt w:val="decimal"/>
      <w:lvlText w:val="%1."/>
      <w:lvlJc w:val="left"/>
      <w:pPr>
        <w:tabs>
          <w:tab w:val="num" w:pos="567"/>
        </w:tabs>
        <w:ind w:left="510" w:hanging="510"/>
      </w:pPr>
      <w:rPr>
        <w:rFonts w:ascii="TimesNewRomanPS" w:hAnsi="TimesNewRomanPS" w:hint="default"/>
        <w:b w:val="0"/>
        <w:bCs/>
        <w:i w:val="0"/>
        <w:iCs w:val="0"/>
        <w:color w:val="000000" w:themeColor="text1"/>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52055A"/>
    <w:multiLevelType w:val="hybridMultilevel"/>
    <w:tmpl w:val="118C8D30"/>
    <w:lvl w:ilvl="0" w:tplc="4C8E65F0">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54D27"/>
    <w:multiLevelType w:val="hybridMultilevel"/>
    <w:tmpl w:val="51CC7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93D4E"/>
    <w:multiLevelType w:val="hybridMultilevel"/>
    <w:tmpl w:val="F98E73A8"/>
    <w:lvl w:ilvl="0" w:tplc="9004699A">
      <w:start w:val="2"/>
      <w:numFmt w:val="lowerLetter"/>
      <w:lvlText w:val="(%1)"/>
      <w:lvlJc w:val="left"/>
      <w:pPr>
        <w:ind w:left="1776" w:hanging="360"/>
      </w:pPr>
      <w:rPr>
        <w:rFonts w:ascii="Times New Roman" w:hAnsi="Times New Roman" w:cs="Times New Roman" w:hint="default"/>
        <w:sz w:val="26"/>
        <w:szCs w:val="26"/>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4" w15:restartNumberingAfterBreak="0">
    <w:nsid w:val="0F642AE5"/>
    <w:multiLevelType w:val="hybridMultilevel"/>
    <w:tmpl w:val="94A633B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1B9284B"/>
    <w:multiLevelType w:val="hybridMultilevel"/>
    <w:tmpl w:val="2C669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C3CCF"/>
    <w:multiLevelType w:val="hybridMultilevel"/>
    <w:tmpl w:val="146E08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E617AD"/>
    <w:multiLevelType w:val="hybridMultilevel"/>
    <w:tmpl w:val="4176A9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FF83531"/>
    <w:multiLevelType w:val="hybridMultilevel"/>
    <w:tmpl w:val="D1E6246E"/>
    <w:lvl w:ilvl="0" w:tplc="04090019">
      <w:start w:val="1"/>
      <w:numFmt w:val="lowerLetter"/>
      <w:lvlText w:val="%1."/>
      <w:lvlJc w:val="left"/>
      <w:pPr>
        <w:ind w:left="360" w:hanging="360"/>
      </w:pPr>
      <w:rPr>
        <w:b w:val="0"/>
        <w:bCs/>
        <w:i w:val="0"/>
        <w:iCs w:val="0"/>
        <w:color w:val="000000" w:themeColor="text1"/>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F72CF7"/>
    <w:multiLevelType w:val="hybridMultilevel"/>
    <w:tmpl w:val="6A968000"/>
    <w:lvl w:ilvl="0" w:tplc="04090019">
      <w:start w:val="1"/>
      <w:numFmt w:val="lowerLetter"/>
      <w:lvlText w:val="%1."/>
      <w:lvlJc w:val="left"/>
      <w:pPr>
        <w:ind w:left="360" w:hanging="360"/>
      </w:pPr>
      <w:rPr>
        <w:b w:val="0"/>
        <w:bCs/>
        <w:i w:val="0"/>
        <w:iCs w:val="0"/>
        <w:color w:val="000000" w:themeColor="text1"/>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365C5"/>
    <w:multiLevelType w:val="hybridMultilevel"/>
    <w:tmpl w:val="275687CE"/>
    <w:lvl w:ilvl="0" w:tplc="04090019">
      <w:start w:val="1"/>
      <w:numFmt w:val="lowerLetter"/>
      <w:lvlText w:val="%1."/>
      <w:lvlJc w:val="left"/>
      <w:pPr>
        <w:ind w:left="360" w:hanging="360"/>
      </w:pPr>
      <w:rPr>
        <w:b w:val="0"/>
        <w:bCs/>
        <w:i w:val="0"/>
        <w:iCs w:val="0"/>
        <w:color w:val="000000" w:themeColor="text1"/>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0E23ED"/>
    <w:multiLevelType w:val="hybridMultilevel"/>
    <w:tmpl w:val="F50E9E64"/>
    <w:lvl w:ilvl="0" w:tplc="073CD3A8">
      <w:start w:val="1"/>
      <w:numFmt w:val="upperRoman"/>
      <w:pStyle w:val="1"/>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190FB3"/>
    <w:multiLevelType w:val="hybridMultilevel"/>
    <w:tmpl w:val="F2DA2062"/>
    <w:lvl w:ilvl="0" w:tplc="22E64094">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66163F8"/>
    <w:multiLevelType w:val="hybridMultilevel"/>
    <w:tmpl w:val="4176A9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EEB030E"/>
    <w:multiLevelType w:val="hybridMultilevel"/>
    <w:tmpl w:val="AA8415E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4066210"/>
    <w:multiLevelType w:val="hybridMultilevel"/>
    <w:tmpl w:val="A9EC4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CF24D2"/>
    <w:multiLevelType w:val="hybridMultilevel"/>
    <w:tmpl w:val="A684AD54"/>
    <w:lvl w:ilvl="0" w:tplc="E0908EA0">
      <w:start w:val="1"/>
      <w:numFmt w:val="decimal"/>
      <w:pStyle w:val="Paragraphenumrot"/>
      <w:lvlText w:val="%1."/>
      <w:lvlJc w:val="left"/>
      <w:pPr>
        <w:ind w:left="720" w:hanging="360"/>
      </w:pPr>
      <w:rPr>
        <w:rFonts w:ascii="Times New Roman" w:hAnsi="Times New Roman" w:cs="Times New Roman" w:hint="default"/>
        <w:b w:val="0"/>
        <w:bCs w:val="0"/>
      </w:rPr>
    </w:lvl>
    <w:lvl w:ilvl="1" w:tplc="9CBA127C">
      <w:start w:val="1"/>
      <w:numFmt w:val="lowerLetter"/>
      <w:lvlText w:val="(%2)."/>
      <w:lvlJc w:val="left"/>
      <w:pPr>
        <w:ind w:left="1440" w:hanging="360"/>
      </w:pPr>
      <w:rPr>
        <w:rFonts w:hint="default"/>
      </w:rPr>
    </w:lvl>
    <w:lvl w:ilvl="2" w:tplc="839A2542">
      <w:start w:val="1"/>
      <w:numFmt w:val="lowerRoman"/>
      <w:lvlText w:val="(%3)."/>
      <w:lvlJc w:val="right"/>
      <w:pPr>
        <w:ind w:left="2160" w:hanging="180"/>
      </w:pPr>
      <w:rPr>
        <w:rFonts w:hint="default"/>
      </w:rPr>
    </w:lvl>
    <w:lvl w:ilvl="3" w:tplc="07129F36">
      <w:start w:val="1"/>
      <w:numFmt w:val="decimal"/>
      <w:lvlText w:val="(%4)."/>
      <w:lvlJc w:val="left"/>
      <w:pPr>
        <w:ind w:left="2880" w:hanging="360"/>
      </w:pPr>
      <w:rPr>
        <w:rFonts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2BE7CB0"/>
    <w:multiLevelType w:val="hybridMultilevel"/>
    <w:tmpl w:val="73283236"/>
    <w:lvl w:ilvl="0" w:tplc="5CC6B5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4341FF9"/>
    <w:multiLevelType w:val="hybridMultilevel"/>
    <w:tmpl w:val="4A38A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314F2A"/>
    <w:multiLevelType w:val="hybridMultilevel"/>
    <w:tmpl w:val="B530A3C6"/>
    <w:lvl w:ilvl="0" w:tplc="6A105274">
      <w:start w:val="1"/>
      <w:numFmt w:val="decimal"/>
      <w:lvlText w:val="%1."/>
      <w:lvlJc w:val="left"/>
      <w:pPr>
        <w:ind w:left="360" w:hanging="360"/>
      </w:pPr>
      <w:rPr>
        <w:rFonts w:ascii="Times New Roman" w:hAnsi="Times New Roman" w:cs="Times New Roman" w:hint="default"/>
        <w:i w:val="0"/>
        <w:iCs w:val="0"/>
      </w:rPr>
    </w:lvl>
    <w:lvl w:ilvl="1" w:tplc="73F87AF8">
      <w:start w:val="1"/>
      <w:numFmt w:val="lowerLetter"/>
      <w:lvlText w:val="%2."/>
      <w:lvlJc w:val="left"/>
      <w:pPr>
        <w:ind w:left="1080" w:hanging="360"/>
      </w:pPr>
      <w:rPr>
        <w:rFonts w:ascii="Times New Roman" w:hAnsi="Times New Roman" w:cs="Times New Roman" w:hint="default"/>
        <w:b w:val="0"/>
        <w:sz w:val="26"/>
        <w:szCs w:val="26"/>
        <w:vertAlign w:val="baseline"/>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6051ACC"/>
    <w:multiLevelType w:val="hybridMultilevel"/>
    <w:tmpl w:val="B274A5F6"/>
    <w:lvl w:ilvl="0" w:tplc="D868955E">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0B0E83"/>
    <w:multiLevelType w:val="hybridMultilevel"/>
    <w:tmpl w:val="4176A9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CD6616"/>
    <w:multiLevelType w:val="hybridMultilevel"/>
    <w:tmpl w:val="CC300510"/>
    <w:lvl w:ilvl="0" w:tplc="7124EAA4">
      <w:start w:val="1"/>
      <w:numFmt w:val="bullet"/>
      <w:pStyle w:val="Styleavecpoint"/>
      <w:lvlText w:val=""/>
      <w:lvlJc w:val="left"/>
      <w:pPr>
        <w:ind w:left="1473" w:hanging="360"/>
      </w:pPr>
      <w:rPr>
        <w:rFonts w:ascii="Symbol" w:hAnsi="Symbol" w:hint="default"/>
      </w:rPr>
    </w:lvl>
    <w:lvl w:ilvl="1" w:tplc="040C0003" w:tentative="1">
      <w:start w:val="1"/>
      <w:numFmt w:val="bullet"/>
      <w:lvlText w:val="o"/>
      <w:lvlJc w:val="left"/>
      <w:pPr>
        <w:ind w:left="2193" w:hanging="360"/>
      </w:pPr>
      <w:rPr>
        <w:rFonts w:ascii="Courier New" w:hAnsi="Courier New" w:cs="Courier New" w:hint="default"/>
      </w:rPr>
    </w:lvl>
    <w:lvl w:ilvl="2" w:tplc="040C0005" w:tentative="1">
      <w:start w:val="1"/>
      <w:numFmt w:val="bullet"/>
      <w:lvlText w:val=""/>
      <w:lvlJc w:val="left"/>
      <w:pPr>
        <w:ind w:left="2913" w:hanging="360"/>
      </w:pPr>
      <w:rPr>
        <w:rFonts w:ascii="Wingdings" w:hAnsi="Wingdings" w:hint="default"/>
      </w:rPr>
    </w:lvl>
    <w:lvl w:ilvl="3" w:tplc="040C0001" w:tentative="1">
      <w:start w:val="1"/>
      <w:numFmt w:val="bullet"/>
      <w:lvlText w:val=""/>
      <w:lvlJc w:val="left"/>
      <w:pPr>
        <w:ind w:left="3633" w:hanging="360"/>
      </w:pPr>
      <w:rPr>
        <w:rFonts w:ascii="Symbol" w:hAnsi="Symbol" w:hint="default"/>
      </w:rPr>
    </w:lvl>
    <w:lvl w:ilvl="4" w:tplc="040C0003" w:tentative="1">
      <w:start w:val="1"/>
      <w:numFmt w:val="bullet"/>
      <w:lvlText w:val="o"/>
      <w:lvlJc w:val="left"/>
      <w:pPr>
        <w:ind w:left="4353" w:hanging="360"/>
      </w:pPr>
      <w:rPr>
        <w:rFonts w:ascii="Courier New" w:hAnsi="Courier New" w:cs="Courier New" w:hint="default"/>
      </w:rPr>
    </w:lvl>
    <w:lvl w:ilvl="5" w:tplc="040C0005" w:tentative="1">
      <w:start w:val="1"/>
      <w:numFmt w:val="bullet"/>
      <w:lvlText w:val=""/>
      <w:lvlJc w:val="left"/>
      <w:pPr>
        <w:ind w:left="5073" w:hanging="360"/>
      </w:pPr>
      <w:rPr>
        <w:rFonts w:ascii="Wingdings" w:hAnsi="Wingdings" w:hint="default"/>
      </w:rPr>
    </w:lvl>
    <w:lvl w:ilvl="6" w:tplc="040C0001" w:tentative="1">
      <w:start w:val="1"/>
      <w:numFmt w:val="bullet"/>
      <w:lvlText w:val=""/>
      <w:lvlJc w:val="left"/>
      <w:pPr>
        <w:ind w:left="5793" w:hanging="360"/>
      </w:pPr>
      <w:rPr>
        <w:rFonts w:ascii="Symbol" w:hAnsi="Symbol" w:hint="default"/>
      </w:rPr>
    </w:lvl>
    <w:lvl w:ilvl="7" w:tplc="040C0003" w:tentative="1">
      <w:start w:val="1"/>
      <w:numFmt w:val="bullet"/>
      <w:lvlText w:val="o"/>
      <w:lvlJc w:val="left"/>
      <w:pPr>
        <w:ind w:left="6513" w:hanging="360"/>
      </w:pPr>
      <w:rPr>
        <w:rFonts w:ascii="Courier New" w:hAnsi="Courier New" w:cs="Courier New" w:hint="default"/>
      </w:rPr>
    </w:lvl>
    <w:lvl w:ilvl="8" w:tplc="040C0005" w:tentative="1">
      <w:start w:val="1"/>
      <w:numFmt w:val="bullet"/>
      <w:lvlText w:val=""/>
      <w:lvlJc w:val="left"/>
      <w:pPr>
        <w:ind w:left="7233" w:hanging="360"/>
      </w:pPr>
      <w:rPr>
        <w:rFonts w:ascii="Wingdings" w:hAnsi="Wingdings" w:hint="default"/>
      </w:rPr>
    </w:lvl>
  </w:abstractNum>
  <w:abstractNum w:abstractNumId="23" w15:restartNumberingAfterBreak="0">
    <w:nsid w:val="7FDF52C3"/>
    <w:multiLevelType w:val="hybridMultilevel"/>
    <w:tmpl w:val="4176A9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6"/>
  </w:num>
  <w:num w:numId="3">
    <w:abstractNumId w:val="18"/>
  </w:num>
  <w:num w:numId="4">
    <w:abstractNumId w:val="14"/>
  </w:num>
  <w:num w:numId="5">
    <w:abstractNumId w:val="13"/>
  </w:num>
  <w:num w:numId="6">
    <w:abstractNumId w:val="4"/>
  </w:num>
  <w:num w:numId="7">
    <w:abstractNumId w:val="7"/>
  </w:num>
  <w:num w:numId="8">
    <w:abstractNumId w:val="23"/>
  </w:num>
  <w:num w:numId="9">
    <w:abstractNumId w:val="22"/>
  </w:num>
  <w:num w:numId="10">
    <w:abstractNumId w:val="0"/>
  </w:num>
  <w:num w:numId="11">
    <w:abstractNumId w:val="15"/>
  </w:num>
  <w:num w:numId="12">
    <w:abstractNumId w:val="2"/>
  </w:num>
  <w:num w:numId="13">
    <w:abstractNumId w:val="9"/>
  </w:num>
  <w:num w:numId="14">
    <w:abstractNumId w:val="8"/>
  </w:num>
  <w:num w:numId="15">
    <w:abstractNumId w:val="10"/>
  </w:num>
  <w:num w:numId="16">
    <w:abstractNumId w:val="17"/>
  </w:num>
  <w:num w:numId="17">
    <w:abstractNumId w:val="11"/>
  </w:num>
  <w:num w:numId="18">
    <w:abstractNumId w:val="1"/>
  </w:num>
  <w:num w:numId="19">
    <w:abstractNumId w:val="19"/>
  </w:num>
  <w:num w:numId="20">
    <w:abstractNumId w:val="1"/>
    <w:lvlOverride w:ilvl="0">
      <w:startOverride w:val="1"/>
    </w:lvlOverride>
  </w:num>
  <w:num w:numId="21">
    <w:abstractNumId w:val="1"/>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1"/>
  </w:num>
  <w:num w:numId="25">
    <w:abstractNumId w:val="20"/>
  </w:num>
  <w:num w:numId="26">
    <w:abstractNumId w:val="1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13C"/>
    <w:rsid w:val="00000106"/>
    <w:rsid w:val="0000016F"/>
    <w:rsid w:val="000009FF"/>
    <w:rsid w:val="00000C9E"/>
    <w:rsid w:val="00001B92"/>
    <w:rsid w:val="00001CE2"/>
    <w:rsid w:val="00002B60"/>
    <w:rsid w:val="00002DFE"/>
    <w:rsid w:val="000037A3"/>
    <w:rsid w:val="00003CBA"/>
    <w:rsid w:val="00003ECC"/>
    <w:rsid w:val="0000436A"/>
    <w:rsid w:val="0000477D"/>
    <w:rsid w:val="00004AB5"/>
    <w:rsid w:val="00004F2D"/>
    <w:rsid w:val="00005042"/>
    <w:rsid w:val="00005EAE"/>
    <w:rsid w:val="000066CF"/>
    <w:rsid w:val="0000684C"/>
    <w:rsid w:val="000069FA"/>
    <w:rsid w:val="00006A86"/>
    <w:rsid w:val="0000702C"/>
    <w:rsid w:val="00007265"/>
    <w:rsid w:val="000077A0"/>
    <w:rsid w:val="000077C7"/>
    <w:rsid w:val="00010147"/>
    <w:rsid w:val="00010279"/>
    <w:rsid w:val="00010373"/>
    <w:rsid w:val="0001048C"/>
    <w:rsid w:val="00010DE9"/>
    <w:rsid w:val="000110CC"/>
    <w:rsid w:val="00011A04"/>
    <w:rsid w:val="00011CDF"/>
    <w:rsid w:val="0001241E"/>
    <w:rsid w:val="00012706"/>
    <w:rsid w:val="00012F0D"/>
    <w:rsid w:val="000134B8"/>
    <w:rsid w:val="00013C95"/>
    <w:rsid w:val="00013F3D"/>
    <w:rsid w:val="00014E44"/>
    <w:rsid w:val="00015228"/>
    <w:rsid w:val="000154FC"/>
    <w:rsid w:val="00015A8D"/>
    <w:rsid w:val="00015F01"/>
    <w:rsid w:val="00016874"/>
    <w:rsid w:val="00016BEF"/>
    <w:rsid w:val="00016F2E"/>
    <w:rsid w:val="00017054"/>
    <w:rsid w:val="0001711F"/>
    <w:rsid w:val="00017683"/>
    <w:rsid w:val="000176D6"/>
    <w:rsid w:val="00017AD8"/>
    <w:rsid w:val="00017DE6"/>
    <w:rsid w:val="00020B8F"/>
    <w:rsid w:val="00020D98"/>
    <w:rsid w:val="0002170E"/>
    <w:rsid w:val="0002174C"/>
    <w:rsid w:val="00021B49"/>
    <w:rsid w:val="00021E8B"/>
    <w:rsid w:val="000220F7"/>
    <w:rsid w:val="00022371"/>
    <w:rsid w:val="000228DC"/>
    <w:rsid w:val="0002331C"/>
    <w:rsid w:val="00023890"/>
    <w:rsid w:val="00023D67"/>
    <w:rsid w:val="0002427F"/>
    <w:rsid w:val="0002472C"/>
    <w:rsid w:val="0002478D"/>
    <w:rsid w:val="00024B4D"/>
    <w:rsid w:val="00025826"/>
    <w:rsid w:val="00025855"/>
    <w:rsid w:val="00025AB5"/>
    <w:rsid w:val="00025AD5"/>
    <w:rsid w:val="00026411"/>
    <w:rsid w:val="0002654F"/>
    <w:rsid w:val="000269AE"/>
    <w:rsid w:val="00026E38"/>
    <w:rsid w:val="00027EAF"/>
    <w:rsid w:val="00031B5E"/>
    <w:rsid w:val="000323EA"/>
    <w:rsid w:val="000325B9"/>
    <w:rsid w:val="00032CD7"/>
    <w:rsid w:val="00032DEB"/>
    <w:rsid w:val="00033047"/>
    <w:rsid w:val="000337D4"/>
    <w:rsid w:val="00033836"/>
    <w:rsid w:val="00033839"/>
    <w:rsid w:val="00033A49"/>
    <w:rsid w:val="00033AFF"/>
    <w:rsid w:val="00033F4B"/>
    <w:rsid w:val="00034106"/>
    <w:rsid w:val="00034B46"/>
    <w:rsid w:val="00034EDC"/>
    <w:rsid w:val="00034F6E"/>
    <w:rsid w:val="00035D86"/>
    <w:rsid w:val="00035EDE"/>
    <w:rsid w:val="00036228"/>
    <w:rsid w:val="00036572"/>
    <w:rsid w:val="000366A1"/>
    <w:rsid w:val="00037980"/>
    <w:rsid w:val="00037DC8"/>
    <w:rsid w:val="00037EC6"/>
    <w:rsid w:val="0004057C"/>
    <w:rsid w:val="0004148E"/>
    <w:rsid w:val="00041F1B"/>
    <w:rsid w:val="00042446"/>
    <w:rsid w:val="00042B90"/>
    <w:rsid w:val="00042BEC"/>
    <w:rsid w:val="00042E4D"/>
    <w:rsid w:val="00042F53"/>
    <w:rsid w:val="000437B5"/>
    <w:rsid w:val="00043E55"/>
    <w:rsid w:val="00043EAF"/>
    <w:rsid w:val="0004413C"/>
    <w:rsid w:val="0004440C"/>
    <w:rsid w:val="000447BF"/>
    <w:rsid w:val="00044809"/>
    <w:rsid w:val="00044B12"/>
    <w:rsid w:val="00044D28"/>
    <w:rsid w:val="00044D41"/>
    <w:rsid w:val="00044F0D"/>
    <w:rsid w:val="000451D9"/>
    <w:rsid w:val="00045320"/>
    <w:rsid w:val="000459FE"/>
    <w:rsid w:val="00045CEA"/>
    <w:rsid w:val="00047A20"/>
    <w:rsid w:val="00047E94"/>
    <w:rsid w:val="00050AB4"/>
    <w:rsid w:val="00050EAB"/>
    <w:rsid w:val="00051C6A"/>
    <w:rsid w:val="00051D66"/>
    <w:rsid w:val="00051DAB"/>
    <w:rsid w:val="000533BB"/>
    <w:rsid w:val="000536B0"/>
    <w:rsid w:val="00053B77"/>
    <w:rsid w:val="00053CC0"/>
    <w:rsid w:val="00054B88"/>
    <w:rsid w:val="000550D0"/>
    <w:rsid w:val="00055192"/>
    <w:rsid w:val="000551B1"/>
    <w:rsid w:val="0005557F"/>
    <w:rsid w:val="00055D32"/>
    <w:rsid w:val="00057388"/>
    <w:rsid w:val="00057920"/>
    <w:rsid w:val="00060479"/>
    <w:rsid w:val="00060535"/>
    <w:rsid w:val="000606B5"/>
    <w:rsid w:val="00060919"/>
    <w:rsid w:val="00060C8A"/>
    <w:rsid w:val="0006163F"/>
    <w:rsid w:val="00061C1B"/>
    <w:rsid w:val="0006262E"/>
    <w:rsid w:val="0006263D"/>
    <w:rsid w:val="00062849"/>
    <w:rsid w:val="00062CCE"/>
    <w:rsid w:val="00063C29"/>
    <w:rsid w:val="00063F30"/>
    <w:rsid w:val="00063F7B"/>
    <w:rsid w:val="000648E3"/>
    <w:rsid w:val="00064BCC"/>
    <w:rsid w:val="00065168"/>
    <w:rsid w:val="00065688"/>
    <w:rsid w:val="00065BA7"/>
    <w:rsid w:val="00065CB8"/>
    <w:rsid w:val="0006608C"/>
    <w:rsid w:val="00066602"/>
    <w:rsid w:val="00066B6B"/>
    <w:rsid w:val="000672AC"/>
    <w:rsid w:val="000675ED"/>
    <w:rsid w:val="000678AE"/>
    <w:rsid w:val="0006799C"/>
    <w:rsid w:val="00070767"/>
    <w:rsid w:val="00070CD5"/>
    <w:rsid w:val="00071A23"/>
    <w:rsid w:val="0007207C"/>
    <w:rsid w:val="0007268E"/>
    <w:rsid w:val="00073173"/>
    <w:rsid w:val="000734DE"/>
    <w:rsid w:val="00073E44"/>
    <w:rsid w:val="00074D6B"/>
    <w:rsid w:val="00075502"/>
    <w:rsid w:val="000757E6"/>
    <w:rsid w:val="00075D30"/>
    <w:rsid w:val="00075E4E"/>
    <w:rsid w:val="00075FEF"/>
    <w:rsid w:val="000760CD"/>
    <w:rsid w:val="00076A95"/>
    <w:rsid w:val="00077513"/>
    <w:rsid w:val="0008073A"/>
    <w:rsid w:val="00080A6D"/>
    <w:rsid w:val="0008122B"/>
    <w:rsid w:val="00081AB7"/>
    <w:rsid w:val="00081B09"/>
    <w:rsid w:val="0008201F"/>
    <w:rsid w:val="0008238A"/>
    <w:rsid w:val="00082550"/>
    <w:rsid w:val="0008270A"/>
    <w:rsid w:val="000832B4"/>
    <w:rsid w:val="0008352F"/>
    <w:rsid w:val="00083BB3"/>
    <w:rsid w:val="00083F35"/>
    <w:rsid w:val="000840C9"/>
    <w:rsid w:val="00084364"/>
    <w:rsid w:val="000844EA"/>
    <w:rsid w:val="00084F3B"/>
    <w:rsid w:val="00085197"/>
    <w:rsid w:val="00085330"/>
    <w:rsid w:val="0008596A"/>
    <w:rsid w:val="00085A49"/>
    <w:rsid w:val="00085C51"/>
    <w:rsid w:val="00085E89"/>
    <w:rsid w:val="0008613C"/>
    <w:rsid w:val="000866D6"/>
    <w:rsid w:val="00086F0A"/>
    <w:rsid w:val="000875E7"/>
    <w:rsid w:val="00087EE6"/>
    <w:rsid w:val="00087FD5"/>
    <w:rsid w:val="0009076F"/>
    <w:rsid w:val="00090776"/>
    <w:rsid w:val="0009209D"/>
    <w:rsid w:val="00092C63"/>
    <w:rsid w:val="00092DA3"/>
    <w:rsid w:val="00093404"/>
    <w:rsid w:val="000936D8"/>
    <w:rsid w:val="00093F05"/>
    <w:rsid w:val="00093F14"/>
    <w:rsid w:val="00094772"/>
    <w:rsid w:val="00094885"/>
    <w:rsid w:val="00094B9E"/>
    <w:rsid w:val="00094BCE"/>
    <w:rsid w:val="00094D3E"/>
    <w:rsid w:val="00094FEC"/>
    <w:rsid w:val="00095752"/>
    <w:rsid w:val="000959D7"/>
    <w:rsid w:val="0009639A"/>
    <w:rsid w:val="000968DE"/>
    <w:rsid w:val="00097224"/>
    <w:rsid w:val="0009771A"/>
    <w:rsid w:val="000979BF"/>
    <w:rsid w:val="00097D46"/>
    <w:rsid w:val="000A01C7"/>
    <w:rsid w:val="000A06C9"/>
    <w:rsid w:val="000A0B7D"/>
    <w:rsid w:val="000A1B2E"/>
    <w:rsid w:val="000A1B30"/>
    <w:rsid w:val="000A1CF6"/>
    <w:rsid w:val="000A2150"/>
    <w:rsid w:val="000A216B"/>
    <w:rsid w:val="000A2206"/>
    <w:rsid w:val="000A29C0"/>
    <w:rsid w:val="000A2C7F"/>
    <w:rsid w:val="000A30E7"/>
    <w:rsid w:val="000A3B23"/>
    <w:rsid w:val="000A3E71"/>
    <w:rsid w:val="000A3ECC"/>
    <w:rsid w:val="000A41AA"/>
    <w:rsid w:val="000A496D"/>
    <w:rsid w:val="000A4F7F"/>
    <w:rsid w:val="000A53F0"/>
    <w:rsid w:val="000A5C23"/>
    <w:rsid w:val="000A5EAA"/>
    <w:rsid w:val="000A6679"/>
    <w:rsid w:val="000A7471"/>
    <w:rsid w:val="000A7918"/>
    <w:rsid w:val="000A79CA"/>
    <w:rsid w:val="000A7DBB"/>
    <w:rsid w:val="000B0A27"/>
    <w:rsid w:val="000B0FA7"/>
    <w:rsid w:val="000B10D9"/>
    <w:rsid w:val="000B1219"/>
    <w:rsid w:val="000B1359"/>
    <w:rsid w:val="000B17C8"/>
    <w:rsid w:val="000B1EA5"/>
    <w:rsid w:val="000B24E1"/>
    <w:rsid w:val="000B2D2A"/>
    <w:rsid w:val="000B2EC1"/>
    <w:rsid w:val="000B3094"/>
    <w:rsid w:val="000B3654"/>
    <w:rsid w:val="000B38C1"/>
    <w:rsid w:val="000B3D3B"/>
    <w:rsid w:val="000B3E91"/>
    <w:rsid w:val="000B46B0"/>
    <w:rsid w:val="000B5DF4"/>
    <w:rsid w:val="000B6090"/>
    <w:rsid w:val="000B69BD"/>
    <w:rsid w:val="000B6A88"/>
    <w:rsid w:val="000B6AFE"/>
    <w:rsid w:val="000B6CC0"/>
    <w:rsid w:val="000B7306"/>
    <w:rsid w:val="000B76D8"/>
    <w:rsid w:val="000C0C1F"/>
    <w:rsid w:val="000C1BDD"/>
    <w:rsid w:val="000C2515"/>
    <w:rsid w:val="000C2CF8"/>
    <w:rsid w:val="000C342B"/>
    <w:rsid w:val="000C3749"/>
    <w:rsid w:val="000C3D87"/>
    <w:rsid w:val="000C432A"/>
    <w:rsid w:val="000C43E5"/>
    <w:rsid w:val="000C4673"/>
    <w:rsid w:val="000C46E6"/>
    <w:rsid w:val="000C51F0"/>
    <w:rsid w:val="000C54C5"/>
    <w:rsid w:val="000C5A09"/>
    <w:rsid w:val="000C614E"/>
    <w:rsid w:val="000C6876"/>
    <w:rsid w:val="000C6D4D"/>
    <w:rsid w:val="000C7908"/>
    <w:rsid w:val="000C7F8A"/>
    <w:rsid w:val="000C7FE6"/>
    <w:rsid w:val="000D008C"/>
    <w:rsid w:val="000D01A7"/>
    <w:rsid w:val="000D0727"/>
    <w:rsid w:val="000D0815"/>
    <w:rsid w:val="000D192D"/>
    <w:rsid w:val="000D1B2D"/>
    <w:rsid w:val="000D2C6B"/>
    <w:rsid w:val="000D2F2E"/>
    <w:rsid w:val="000D338A"/>
    <w:rsid w:val="000D3462"/>
    <w:rsid w:val="000D4386"/>
    <w:rsid w:val="000D43C0"/>
    <w:rsid w:val="000D465F"/>
    <w:rsid w:val="000D5563"/>
    <w:rsid w:val="000D5815"/>
    <w:rsid w:val="000D5897"/>
    <w:rsid w:val="000D5987"/>
    <w:rsid w:val="000D5A3D"/>
    <w:rsid w:val="000D708E"/>
    <w:rsid w:val="000D7178"/>
    <w:rsid w:val="000D75B7"/>
    <w:rsid w:val="000E0C96"/>
    <w:rsid w:val="000E1098"/>
    <w:rsid w:val="000E273B"/>
    <w:rsid w:val="000E2C55"/>
    <w:rsid w:val="000E2D15"/>
    <w:rsid w:val="000E2F39"/>
    <w:rsid w:val="000E3086"/>
    <w:rsid w:val="000E3484"/>
    <w:rsid w:val="000E38DB"/>
    <w:rsid w:val="000E4558"/>
    <w:rsid w:val="000E45B3"/>
    <w:rsid w:val="000E4958"/>
    <w:rsid w:val="000E5009"/>
    <w:rsid w:val="000E555F"/>
    <w:rsid w:val="000E5E2D"/>
    <w:rsid w:val="000E61EA"/>
    <w:rsid w:val="000E61EB"/>
    <w:rsid w:val="000E7998"/>
    <w:rsid w:val="000E7D2D"/>
    <w:rsid w:val="000F048D"/>
    <w:rsid w:val="000F1213"/>
    <w:rsid w:val="000F1CA6"/>
    <w:rsid w:val="000F1DE9"/>
    <w:rsid w:val="000F204C"/>
    <w:rsid w:val="000F23E3"/>
    <w:rsid w:val="000F297F"/>
    <w:rsid w:val="000F2FDE"/>
    <w:rsid w:val="000F41C0"/>
    <w:rsid w:val="000F4F99"/>
    <w:rsid w:val="000F4FF9"/>
    <w:rsid w:val="000F51CA"/>
    <w:rsid w:val="000F5753"/>
    <w:rsid w:val="000F5D3C"/>
    <w:rsid w:val="000F6328"/>
    <w:rsid w:val="000F64C3"/>
    <w:rsid w:val="000F695C"/>
    <w:rsid w:val="000F6A63"/>
    <w:rsid w:val="000F6F0A"/>
    <w:rsid w:val="001000AE"/>
    <w:rsid w:val="001000BE"/>
    <w:rsid w:val="0010091A"/>
    <w:rsid w:val="00100F12"/>
    <w:rsid w:val="0010161B"/>
    <w:rsid w:val="00101ABD"/>
    <w:rsid w:val="00101D2A"/>
    <w:rsid w:val="0010220C"/>
    <w:rsid w:val="001025F8"/>
    <w:rsid w:val="00102AE0"/>
    <w:rsid w:val="00102B3C"/>
    <w:rsid w:val="001031F5"/>
    <w:rsid w:val="0010338B"/>
    <w:rsid w:val="00103456"/>
    <w:rsid w:val="00103618"/>
    <w:rsid w:val="00104A10"/>
    <w:rsid w:val="0010617E"/>
    <w:rsid w:val="00106483"/>
    <w:rsid w:val="00106CC1"/>
    <w:rsid w:val="00106D27"/>
    <w:rsid w:val="001077DB"/>
    <w:rsid w:val="00107C69"/>
    <w:rsid w:val="0011099C"/>
    <w:rsid w:val="00110C1B"/>
    <w:rsid w:val="0011139D"/>
    <w:rsid w:val="00111BD1"/>
    <w:rsid w:val="00112087"/>
    <w:rsid w:val="00113841"/>
    <w:rsid w:val="001147A7"/>
    <w:rsid w:val="00114B31"/>
    <w:rsid w:val="001158C5"/>
    <w:rsid w:val="00115B65"/>
    <w:rsid w:val="001171CB"/>
    <w:rsid w:val="0011732B"/>
    <w:rsid w:val="001173F2"/>
    <w:rsid w:val="00117E90"/>
    <w:rsid w:val="00117FBD"/>
    <w:rsid w:val="00120F54"/>
    <w:rsid w:val="001213C9"/>
    <w:rsid w:val="00121B80"/>
    <w:rsid w:val="001223CF"/>
    <w:rsid w:val="001226B3"/>
    <w:rsid w:val="0012271D"/>
    <w:rsid w:val="00122761"/>
    <w:rsid w:val="0012282F"/>
    <w:rsid w:val="00123073"/>
    <w:rsid w:val="001234AB"/>
    <w:rsid w:val="00123738"/>
    <w:rsid w:val="00123E33"/>
    <w:rsid w:val="001246C7"/>
    <w:rsid w:val="00124993"/>
    <w:rsid w:val="00124B23"/>
    <w:rsid w:val="00126717"/>
    <w:rsid w:val="0012671D"/>
    <w:rsid w:val="00126F37"/>
    <w:rsid w:val="001273F5"/>
    <w:rsid w:val="001274E2"/>
    <w:rsid w:val="00127FC7"/>
    <w:rsid w:val="001302DA"/>
    <w:rsid w:val="00131288"/>
    <w:rsid w:val="00132A2C"/>
    <w:rsid w:val="00132B30"/>
    <w:rsid w:val="00133060"/>
    <w:rsid w:val="00133870"/>
    <w:rsid w:val="00133EB1"/>
    <w:rsid w:val="00133EB3"/>
    <w:rsid w:val="00133F33"/>
    <w:rsid w:val="00134811"/>
    <w:rsid w:val="00135B76"/>
    <w:rsid w:val="0013605A"/>
    <w:rsid w:val="001361FF"/>
    <w:rsid w:val="00136781"/>
    <w:rsid w:val="00140D1F"/>
    <w:rsid w:val="001419C3"/>
    <w:rsid w:val="00141D47"/>
    <w:rsid w:val="00142064"/>
    <w:rsid w:val="00142A06"/>
    <w:rsid w:val="00142DE7"/>
    <w:rsid w:val="001434F9"/>
    <w:rsid w:val="0014377C"/>
    <w:rsid w:val="001440B9"/>
    <w:rsid w:val="0014467A"/>
    <w:rsid w:val="00144680"/>
    <w:rsid w:val="00144C43"/>
    <w:rsid w:val="001456C9"/>
    <w:rsid w:val="00145980"/>
    <w:rsid w:val="00145E26"/>
    <w:rsid w:val="001462D1"/>
    <w:rsid w:val="00146DF0"/>
    <w:rsid w:val="00146FBB"/>
    <w:rsid w:val="001507D9"/>
    <w:rsid w:val="00151224"/>
    <w:rsid w:val="00151712"/>
    <w:rsid w:val="0015178C"/>
    <w:rsid w:val="00151841"/>
    <w:rsid w:val="001519E6"/>
    <w:rsid w:val="00151C8A"/>
    <w:rsid w:val="00152032"/>
    <w:rsid w:val="00152320"/>
    <w:rsid w:val="00152BD0"/>
    <w:rsid w:val="0015381F"/>
    <w:rsid w:val="001539D8"/>
    <w:rsid w:val="00153B69"/>
    <w:rsid w:val="00153CD7"/>
    <w:rsid w:val="00153D55"/>
    <w:rsid w:val="00153E40"/>
    <w:rsid w:val="00154AA4"/>
    <w:rsid w:val="00154D77"/>
    <w:rsid w:val="00154F84"/>
    <w:rsid w:val="00154FE6"/>
    <w:rsid w:val="0015502F"/>
    <w:rsid w:val="00155B1E"/>
    <w:rsid w:val="00157655"/>
    <w:rsid w:val="00157A1E"/>
    <w:rsid w:val="00157B50"/>
    <w:rsid w:val="0016011B"/>
    <w:rsid w:val="0016014A"/>
    <w:rsid w:val="001602FA"/>
    <w:rsid w:val="0016165B"/>
    <w:rsid w:val="00161C16"/>
    <w:rsid w:val="001623E3"/>
    <w:rsid w:val="00162639"/>
    <w:rsid w:val="00162AA6"/>
    <w:rsid w:val="00162C26"/>
    <w:rsid w:val="00163223"/>
    <w:rsid w:val="001644D2"/>
    <w:rsid w:val="00166BA3"/>
    <w:rsid w:val="00166F11"/>
    <w:rsid w:val="001670C2"/>
    <w:rsid w:val="00167625"/>
    <w:rsid w:val="0016780A"/>
    <w:rsid w:val="00167DB6"/>
    <w:rsid w:val="00170F8D"/>
    <w:rsid w:val="001714D6"/>
    <w:rsid w:val="00171606"/>
    <w:rsid w:val="001718C8"/>
    <w:rsid w:val="00171ABC"/>
    <w:rsid w:val="00172582"/>
    <w:rsid w:val="0017290F"/>
    <w:rsid w:val="00173220"/>
    <w:rsid w:val="00173F66"/>
    <w:rsid w:val="001743BD"/>
    <w:rsid w:val="001745E8"/>
    <w:rsid w:val="001746B1"/>
    <w:rsid w:val="00174FD9"/>
    <w:rsid w:val="00175A2A"/>
    <w:rsid w:val="00175F9A"/>
    <w:rsid w:val="00176C48"/>
    <w:rsid w:val="00176CE2"/>
    <w:rsid w:val="0017746E"/>
    <w:rsid w:val="001777A9"/>
    <w:rsid w:val="001777F8"/>
    <w:rsid w:val="00177D57"/>
    <w:rsid w:val="00177DC2"/>
    <w:rsid w:val="00180396"/>
    <w:rsid w:val="00180680"/>
    <w:rsid w:val="0018090D"/>
    <w:rsid w:val="00180DB6"/>
    <w:rsid w:val="00181074"/>
    <w:rsid w:val="001810FE"/>
    <w:rsid w:val="0018130B"/>
    <w:rsid w:val="001813EC"/>
    <w:rsid w:val="00181699"/>
    <w:rsid w:val="0018247B"/>
    <w:rsid w:val="001829DF"/>
    <w:rsid w:val="001829EC"/>
    <w:rsid w:val="00182DBF"/>
    <w:rsid w:val="001832E6"/>
    <w:rsid w:val="001848BC"/>
    <w:rsid w:val="00184A1F"/>
    <w:rsid w:val="00184ACE"/>
    <w:rsid w:val="00184F45"/>
    <w:rsid w:val="00185064"/>
    <w:rsid w:val="00185383"/>
    <w:rsid w:val="001854F7"/>
    <w:rsid w:val="001854F9"/>
    <w:rsid w:val="00185C06"/>
    <w:rsid w:val="0018632D"/>
    <w:rsid w:val="00186681"/>
    <w:rsid w:val="00187DC1"/>
    <w:rsid w:val="00190445"/>
    <w:rsid w:val="00190615"/>
    <w:rsid w:val="001908D0"/>
    <w:rsid w:val="00191B53"/>
    <w:rsid w:val="00191E91"/>
    <w:rsid w:val="00191EAD"/>
    <w:rsid w:val="00192223"/>
    <w:rsid w:val="00192837"/>
    <w:rsid w:val="00192B35"/>
    <w:rsid w:val="001931C6"/>
    <w:rsid w:val="00193295"/>
    <w:rsid w:val="001936B6"/>
    <w:rsid w:val="001940FC"/>
    <w:rsid w:val="00194390"/>
    <w:rsid w:val="00194A74"/>
    <w:rsid w:val="00194C22"/>
    <w:rsid w:val="00194F8C"/>
    <w:rsid w:val="001952CB"/>
    <w:rsid w:val="0019552A"/>
    <w:rsid w:val="00195C00"/>
    <w:rsid w:val="00195C4F"/>
    <w:rsid w:val="00196093"/>
    <w:rsid w:val="00196B88"/>
    <w:rsid w:val="00196F6F"/>
    <w:rsid w:val="00197231"/>
    <w:rsid w:val="00197547"/>
    <w:rsid w:val="001A023F"/>
    <w:rsid w:val="001A0A10"/>
    <w:rsid w:val="001A0F72"/>
    <w:rsid w:val="001A16A7"/>
    <w:rsid w:val="001A1EF1"/>
    <w:rsid w:val="001A2106"/>
    <w:rsid w:val="001A2B60"/>
    <w:rsid w:val="001A31F5"/>
    <w:rsid w:val="001A365D"/>
    <w:rsid w:val="001A3681"/>
    <w:rsid w:val="001A370A"/>
    <w:rsid w:val="001A384F"/>
    <w:rsid w:val="001A3E5D"/>
    <w:rsid w:val="001A43D7"/>
    <w:rsid w:val="001A45FB"/>
    <w:rsid w:val="001A489A"/>
    <w:rsid w:val="001A5679"/>
    <w:rsid w:val="001A5CBA"/>
    <w:rsid w:val="001A64A6"/>
    <w:rsid w:val="001A66DE"/>
    <w:rsid w:val="001A6B4E"/>
    <w:rsid w:val="001A7422"/>
    <w:rsid w:val="001A77A6"/>
    <w:rsid w:val="001A7AC9"/>
    <w:rsid w:val="001A7E79"/>
    <w:rsid w:val="001B09FC"/>
    <w:rsid w:val="001B180E"/>
    <w:rsid w:val="001B20F8"/>
    <w:rsid w:val="001B2348"/>
    <w:rsid w:val="001B252E"/>
    <w:rsid w:val="001B283F"/>
    <w:rsid w:val="001B33F2"/>
    <w:rsid w:val="001B366B"/>
    <w:rsid w:val="001B41F8"/>
    <w:rsid w:val="001B4478"/>
    <w:rsid w:val="001B4969"/>
    <w:rsid w:val="001B4AEF"/>
    <w:rsid w:val="001B4D83"/>
    <w:rsid w:val="001B50C7"/>
    <w:rsid w:val="001B59B9"/>
    <w:rsid w:val="001B5ED5"/>
    <w:rsid w:val="001B60F8"/>
    <w:rsid w:val="001B6542"/>
    <w:rsid w:val="001B6579"/>
    <w:rsid w:val="001B6897"/>
    <w:rsid w:val="001B6E25"/>
    <w:rsid w:val="001B6E4C"/>
    <w:rsid w:val="001B6EE2"/>
    <w:rsid w:val="001B7024"/>
    <w:rsid w:val="001B7118"/>
    <w:rsid w:val="001B7833"/>
    <w:rsid w:val="001B7B80"/>
    <w:rsid w:val="001B7ED2"/>
    <w:rsid w:val="001C00A6"/>
    <w:rsid w:val="001C00F4"/>
    <w:rsid w:val="001C05E2"/>
    <w:rsid w:val="001C07ED"/>
    <w:rsid w:val="001C07F4"/>
    <w:rsid w:val="001C0BDA"/>
    <w:rsid w:val="001C0D53"/>
    <w:rsid w:val="001C0DDC"/>
    <w:rsid w:val="001C120F"/>
    <w:rsid w:val="001C19D1"/>
    <w:rsid w:val="001C225D"/>
    <w:rsid w:val="001C2971"/>
    <w:rsid w:val="001C2DBF"/>
    <w:rsid w:val="001C2E3F"/>
    <w:rsid w:val="001C30D0"/>
    <w:rsid w:val="001C3292"/>
    <w:rsid w:val="001C3840"/>
    <w:rsid w:val="001C3DDB"/>
    <w:rsid w:val="001C3F60"/>
    <w:rsid w:val="001C4259"/>
    <w:rsid w:val="001C50DC"/>
    <w:rsid w:val="001C5161"/>
    <w:rsid w:val="001C5347"/>
    <w:rsid w:val="001C53D2"/>
    <w:rsid w:val="001C5922"/>
    <w:rsid w:val="001C5A74"/>
    <w:rsid w:val="001C5BF7"/>
    <w:rsid w:val="001C62A2"/>
    <w:rsid w:val="001C63F2"/>
    <w:rsid w:val="001C6915"/>
    <w:rsid w:val="001C6F9F"/>
    <w:rsid w:val="001C6FA0"/>
    <w:rsid w:val="001C74DD"/>
    <w:rsid w:val="001C792F"/>
    <w:rsid w:val="001C7A93"/>
    <w:rsid w:val="001D1548"/>
    <w:rsid w:val="001D16BF"/>
    <w:rsid w:val="001D176C"/>
    <w:rsid w:val="001D1D98"/>
    <w:rsid w:val="001D2274"/>
    <w:rsid w:val="001D25D0"/>
    <w:rsid w:val="001D27EC"/>
    <w:rsid w:val="001D2B56"/>
    <w:rsid w:val="001D2F21"/>
    <w:rsid w:val="001D3006"/>
    <w:rsid w:val="001D349B"/>
    <w:rsid w:val="001D4149"/>
    <w:rsid w:val="001D4365"/>
    <w:rsid w:val="001D47D5"/>
    <w:rsid w:val="001D4A1E"/>
    <w:rsid w:val="001D4EE3"/>
    <w:rsid w:val="001D4F29"/>
    <w:rsid w:val="001D51FC"/>
    <w:rsid w:val="001D55DC"/>
    <w:rsid w:val="001D5A2F"/>
    <w:rsid w:val="001D5EA6"/>
    <w:rsid w:val="001D622D"/>
    <w:rsid w:val="001D6CDC"/>
    <w:rsid w:val="001D74A6"/>
    <w:rsid w:val="001D763A"/>
    <w:rsid w:val="001D7DC2"/>
    <w:rsid w:val="001D7FF7"/>
    <w:rsid w:val="001E0BCE"/>
    <w:rsid w:val="001E14F7"/>
    <w:rsid w:val="001E1817"/>
    <w:rsid w:val="001E18D3"/>
    <w:rsid w:val="001E1FF1"/>
    <w:rsid w:val="001E26E3"/>
    <w:rsid w:val="001E2A18"/>
    <w:rsid w:val="001E2F3C"/>
    <w:rsid w:val="001E3D5E"/>
    <w:rsid w:val="001E430E"/>
    <w:rsid w:val="001E49B9"/>
    <w:rsid w:val="001E4CF8"/>
    <w:rsid w:val="001E50F3"/>
    <w:rsid w:val="001E522B"/>
    <w:rsid w:val="001E53DE"/>
    <w:rsid w:val="001E5E38"/>
    <w:rsid w:val="001E5E80"/>
    <w:rsid w:val="001E629C"/>
    <w:rsid w:val="001E68E0"/>
    <w:rsid w:val="001E6E8C"/>
    <w:rsid w:val="001E714D"/>
    <w:rsid w:val="001E7B60"/>
    <w:rsid w:val="001E7B9F"/>
    <w:rsid w:val="001E7DDB"/>
    <w:rsid w:val="001F0BD3"/>
    <w:rsid w:val="001F132E"/>
    <w:rsid w:val="001F1B09"/>
    <w:rsid w:val="001F1C0B"/>
    <w:rsid w:val="001F1F71"/>
    <w:rsid w:val="001F1F91"/>
    <w:rsid w:val="001F21BC"/>
    <w:rsid w:val="001F2D6B"/>
    <w:rsid w:val="001F3804"/>
    <w:rsid w:val="001F4160"/>
    <w:rsid w:val="001F4B38"/>
    <w:rsid w:val="001F5015"/>
    <w:rsid w:val="001F5226"/>
    <w:rsid w:val="001F57A3"/>
    <w:rsid w:val="001F58FF"/>
    <w:rsid w:val="001F593E"/>
    <w:rsid w:val="001F6657"/>
    <w:rsid w:val="001F69F7"/>
    <w:rsid w:val="001F6E77"/>
    <w:rsid w:val="001F72A5"/>
    <w:rsid w:val="001F756F"/>
    <w:rsid w:val="001F7972"/>
    <w:rsid w:val="001F7C8C"/>
    <w:rsid w:val="001F7D4A"/>
    <w:rsid w:val="00200E5D"/>
    <w:rsid w:val="00201874"/>
    <w:rsid w:val="00201DFE"/>
    <w:rsid w:val="00202EA2"/>
    <w:rsid w:val="00202EBF"/>
    <w:rsid w:val="00203403"/>
    <w:rsid w:val="00203D52"/>
    <w:rsid w:val="00203D9B"/>
    <w:rsid w:val="0020402B"/>
    <w:rsid w:val="00204164"/>
    <w:rsid w:val="0020473B"/>
    <w:rsid w:val="00204EAA"/>
    <w:rsid w:val="00204EE5"/>
    <w:rsid w:val="00205103"/>
    <w:rsid w:val="00206255"/>
    <w:rsid w:val="002062F8"/>
    <w:rsid w:val="00207A9F"/>
    <w:rsid w:val="00207E62"/>
    <w:rsid w:val="00211071"/>
    <w:rsid w:val="002118DD"/>
    <w:rsid w:val="0021193B"/>
    <w:rsid w:val="00211EC4"/>
    <w:rsid w:val="00212014"/>
    <w:rsid w:val="00212223"/>
    <w:rsid w:val="00212416"/>
    <w:rsid w:val="00213B0D"/>
    <w:rsid w:val="0021447B"/>
    <w:rsid w:val="00214C42"/>
    <w:rsid w:val="0021518C"/>
    <w:rsid w:val="002153C4"/>
    <w:rsid w:val="00215B23"/>
    <w:rsid w:val="00215F40"/>
    <w:rsid w:val="00216788"/>
    <w:rsid w:val="00216AE2"/>
    <w:rsid w:val="00216F1E"/>
    <w:rsid w:val="002170B1"/>
    <w:rsid w:val="00217353"/>
    <w:rsid w:val="002177D4"/>
    <w:rsid w:val="002203D4"/>
    <w:rsid w:val="00220AB2"/>
    <w:rsid w:val="00221313"/>
    <w:rsid w:val="00221AB3"/>
    <w:rsid w:val="00222B82"/>
    <w:rsid w:val="00222FB7"/>
    <w:rsid w:val="00223211"/>
    <w:rsid w:val="0022325C"/>
    <w:rsid w:val="00223A62"/>
    <w:rsid w:val="00223FCA"/>
    <w:rsid w:val="00224AB9"/>
    <w:rsid w:val="00225B0D"/>
    <w:rsid w:val="0022643A"/>
    <w:rsid w:val="00226A23"/>
    <w:rsid w:val="00226D11"/>
    <w:rsid w:val="002275B3"/>
    <w:rsid w:val="00227997"/>
    <w:rsid w:val="0023057B"/>
    <w:rsid w:val="002316A4"/>
    <w:rsid w:val="00232EBD"/>
    <w:rsid w:val="0023392F"/>
    <w:rsid w:val="00233A75"/>
    <w:rsid w:val="00233BAB"/>
    <w:rsid w:val="00233C45"/>
    <w:rsid w:val="00233FEE"/>
    <w:rsid w:val="00234264"/>
    <w:rsid w:val="00234306"/>
    <w:rsid w:val="00234461"/>
    <w:rsid w:val="002349AC"/>
    <w:rsid w:val="00234BB6"/>
    <w:rsid w:val="00236251"/>
    <w:rsid w:val="0023655F"/>
    <w:rsid w:val="002365CC"/>
    <w:rsid w:val="00236B13"/>
    <w:rsid w:val="00236DDC"/>
    <w:rsid w:val="00236F24"/>
    <w:rsid w:val="00237387"/>
    <w:rsid w:val="00237407"/>
    <w:rsid w:val="002378AA"/>
    <w:rsid w:val="00237A5A"/>
    <w:rsid w:val="00237DD8"/>
    <w:rsid w:val="00240523"/>
    <w:rsid w:val="002405D6"/>
    <w:rsid w:val="002408DC"/>
    <w:rsid w:val="00240D9B"/>
    <w:rsid w:val="00241513"/>
    <w:rsid w:val="0024218C"/>
    <w:rsid w:val="00242312"/>
    <w:rsid w:val="0024329A"/>
    <w:rsid w:val="00243CFC"/>
    <w:rsid w:val="00243EE3"/>
    <w:rsid w:val="00244219"/>
    <w:rsid w:val="0024427F"/>
    <w:rsid w:val="00244B6F"/>
    <w:rsid w:val="00244B92"/>
    <w:rsid w:val="00244C50"/>
    <w:rsid w:val="00244D5C"/>
    <w:rsid w:val="00244F13"/>
    <w:rsid w:val="0024534C"/>
    <w:rsid w:val="0024551B"/>
    <w:rsid w:val="00245986"/>
    <w:rsid w:val="00246D4C"/>
    <w:rsid w:val="00247253"/>
    <w:rsid w:val="002479A4"/>
    <w:rsid w:val="00247ABB"/>
    <w:rsid w:val="00247B50"/>
    <w:rsid w:val="00247C9C"/>
    <w:rsid w:val="0025004D"/>
    <w:rsid w:val="002505CC"/>
    <w:rsid w:val="0025083A"/>
    <w:rsid w:val="00250CD4"/>
    <w:rsid w:val="0025101E"/>
    <w:rsid w:val="00251277"/>
    <w:rsid w:val="002513B5"/>
    <w:rsid w:val="002515B8"/>
    <w:rsid w:val="00251682"/>
    <w:rsid w:val="0025173E"/>
    <w:rsid w:val="00251820"/>
    <w:rsid w:val="00251D36"/>
    <w:rsid w:val="00251FA3"/>
    <w:rsid w:val="00252378"/>
    <w:rsid w:val="0025238E"/>
    <w:rsid w:val="00252479"/>
    <w:rsid w:val="002527BD"/>
    <w:rsid w:val="00252950"/>
    <w:rsid w:val="00252DBF"/>
    <w:rsid w:val="0025365A"/>
    <w:rsid w:val="00253F55"/>
    <w:rsid w:val="00254206"/>
    <w:rsid w:val="00254875"/>
    <w:rsid w:val="00255667"/>
    <w:rsid w:val="002559D7"/>
    <w:rsid w:val="00255D74"/>
    <w:rsid w:val="00256E5C"/>
    <w:rsid w:val="00257B16"/>
    <w:rsid w:val="00260471"/>
    <w:rsid w:val="00260922"/>
    <w:rsid w:val="00260A07"/>
    <w:rsid w:val="00260D8A"/>
    <w:rsid w:val="002618EB"/>
    <w:rsid w:val="002619EF"/>
    <w:rsid w:val="00261A04"/>
    <w:rsid w:val="00262623"/>
    <w:rsid w:val="002627F5"/>
    <w:rsid w:val="002630C0"/>
    <w:rsid w:val="0026328C"/>
    <w:rsid w:val="002638B8"/>
    <w:rsid w:val="002640C3"/>
    <w:rsid w:val="00264272"/>
    <w:rsid w:val="00264550"/>
    <w:rsid w:val="00264645"/>
    <w:rsid w:val="0026502F"/>
    <w:rsid w:val="00265420"/>
    <w:rsid w:val="002654E7"/>
    <w:rsid w:val="00265B46"/>
    <w:rsid w:val="00265E1D"/>
    <w:rsid w:val="00266C5C"/>
    <w:rsid w:val="00266EAC"/>
    <w:rsid w:val="00267795"/>
    <w:rsid w:val="00267BFC"/>
    <w:rsid w:val="00267E80"/>
    <w:rsid w:val="00267EAF"/>
    <w:rsid w:val="0027037B"/>
    <w:rsid w:val="00270975"/>
    <w:rsid w:val="00270C23"/>
    <w:rsid w:val="0027151D"/>
    <w:rsid w:val="002721CB"/>
    <w:rsid w:val="00272317"/>
    <w:rsid w:val="00272B38"/>
    <w:rsid w:val="00273130"/>
    <w:rsid w:val="00273414"/>
    <w:rsid w:val="0027344F"/>
    <w:rsid w:val="0027356F"/>
    <w:rsid w:val="00273605"/>
    <w:rsid w:val="00273D01"/>
    <w:rsid w:val="00274139"/>
    <w:rsid w:val="00274770"/>
    <w:rsid w:val="00274DC2"/>
    <w:rsid w:val="00275135"/>
    <w:rsid w:val="00275158"/>
    <w:rsid w:val="00275F66"/>
    <w:rsid w:val="00276B36"/>
    <w:rsid w:val="00276D39"/>
    <w:rsid w:val="0027768E"/>
    <w:rsid w:val="0027770B"/>
    <w:rsid w:val="00277715"/>
    <w:rsid w:val="00277CE9"/>
    <w:rsid w:val="002801DF"/>
    <w:rsid w:val="002803D9"/>
    <w:rsid w:val="002803E3"/>
    <w:rsid w:val="002807F4"/>
    <w:rsid w:val="00281C36"/>
    <w:rsid w:val="002830CD"/>
    <w:rsid w:val="002833AA"/>
    <w:rsid w:val="00283521"/>
    <w:rsid w:val="0028411B"/>
    <w:rsid w:val="00284233"/>
    <w:rsid w:val="00284857"/>
    <w:rsid w:val="00284EE4"/>
    <w:rsid w:val="00285C22"/>
    <w:rsid w:val="00285E6E"/>
    <w:rsid w:val="00286022"/>
    <w:rsid w:val="00286145"/>
    <w:rsid w:val="00286B52"/>
    <w:rsid w:val="00286D6B"/>
    <w:rsid w:val="00286F4A"/>
    <w:rsid w:val="002874FF"/>
    <w:rsid w:val="002876F6"/>
    <w:rsid w:val="00287CD4"/>
    <w:rsid w:val="00290C46"/>
    <w:rsid w:val="00291C77"/>
    <w:rsid w:val="00292CE2"/>
    <w:rsid w:val="00292EA0"/>
    <w:rsid w:val="00292ED5"/>
    <w:rsid w:val="002936DF"/>
    <w:rsid w:val="002937F9"/>
    <w:rsid w:val="00293978"/>
    <w:rsid w:val="00295757"/>
    <w:rsid w:val="00295CFA"/>
    <w:rsid w:val="00296245"/>
    <w:rsid w:val="0029699A"/>
    <w:rsid w:val="00296B50"/>
    <w:rsid w:val="00296FD7"/>
    <w:rsid w:val="002972D1"/>
    <w:rsid w:val="002973A7"/>
    <w:rsid w:val="0029794A"/>
    <w:rsid w:val="00297CB4"/>
    <w:rsid w:val="002A042A"/>
    <w:rsid w:val="002A07B1"/>
    <w:rsid w:val="002A0B22"/>
    <w:rsid w:val="002A0C92"/>
    <w:rsid w:val="002A0E36"/>
    <w:rsid w:val="002A1538"/>
    <w:rsid w:val="002A1784"/>
    <w:rsid w:val="002A1A54"/>
    <w:rsid w:val="002A1BE6"/>
    <w:rsid w:val="002A232C"/>
    <w:rsid w:val="002A2F8F"/>
    <w:rsid w:val="002A3337"/>
    <w:rsid w:val="002A33C3"/>
    <w:rsid w:val="002A3469"/>
    <w:rsid w:val="002A3C0C"/>
    <w:rsid w:val="002A509F"/>
    <w:rsid w:val="002A5160"/>
    <w:rsid w:val="002A56C6"/>
    <w:rsid w:val="002A60D5"/>
    <w:rsid w:val="002A6762"/>
    <w:rsid w:val="002A6C33"/>
    <w:rsid w:val="002A6C4C"/>
    <w:rsid w:val="002A7A8E"/>
    <w:rsid w:val="002A7C4E"/>
    <w:rsid w:val="002B008C"/>
    <w:rsid w:val="002B0182"/>
    <w:rsid w:val="002B0E39"/>
    <w:rsid w:val="002B0F13"/>
    <w:rsid w:val="002B1139"/>
    <w:rsid w:val="002B145F"/>
    <w:rsid w:val="002B1856"/>
    <w:rsid w:val="002B1C59"/>
    <w:rsid w:val="002B2226"/>
    <w:rsid w:val="002B2F51"/>
    <w:rsid w:val="002B344E"/>
    <w:rsid w:val="002B390A"/>
    <w:rsid w:val="002B3F6B"/>
    <w:rsid w:val="002B4267"/>
    <w:rsid w:val="002B4383"/>
    <w:rsid w:val="002B48F1"/>
    <w:rsid w:val="002B5531"/>
    <w:rsid w:val="002B55D8"/>
    <w:rsid w:val="002B56D9"/>
    <w:rsid w:val="002B5DD9"/>
    <w:rsid w:val="002B5F22"/>
    <w:rsid w:val="002B6319"/>
    <w:rsid w:val="002B6439"/>
    <w:rsid w:val="002B6849"/>
    <w:rsid w:val="002B6B82"/>
    <w:rsid w:val="002B6FBE"/>
    <w:rsid w:val="002B7897"/>
    <w:rsid w:val="002C036B"/>
    <w:rsid w:val="002C09F9"/>
    <w:rsid w:val="002C1D85"/>
    <w:rsid w:val="002C2415"/>
    <w:rsid w:val="002C2C97"/>
    <w:rsid w:val="002C38D3"/>
    <w:rsid w:val="002C4ACA"/>
    <w:rsid w:val="002C555F"/>
    <w:rsid w:val="002C5933"/>
    <w:rsid w:val="002C5BA6"/>
    <w:rsid w:val="002C61A7"/>
    <w:rsid w:val="002C62BF"/>
    <w:rsid w:val="002C69B1"/>
    <w:rsid w:val="002C6C8A"/>
    <w:rsid w:val="002C7035"/>
    <w:rsid w:val="002C7396"/>
    <w:rsid w:val="002C78E3"/>
    <w:rsid w:val="002D0323"/>
    <w:rsid w:val="002D0C9F"/>
    <w:rsid w:val="002D14FC"/>
    <w:rsid w:val="002D1C07"/>
    <w:rsid w:val="002D1CD7"/>
    <w:rsid w:val="002D258E"/>
    <w:rsid w:val="002D2D36"/>
    <w:rsid w:val="002D2E46"/>
    <w:rsid w:val="002D39CB"/>
    <w:rsid w:val="002D3B14"/>
    <w:rsid w:val="002D40CD"/>
    <w:rsid w:val="002D4FBB"/>
    <w:rsid w:val="002D6978"/>
    <w:rsid w:val="002D6BD6"/>
    <w:rsid w:val="002D6D7A"/>
    <w:rsid w:val="002D7254"/>
    <w:rsid w:val="002D737D"/>
    <w:rsid w:val="002D743A"/>
    <w:rsid w:val="002D77BC"/>
    <w:rsid w:val="002D7DC4"/>
    <w:rsid w:val="002E02A0"/>
    <w:rsid w:val="002E02EF"/>
    <w:rsid w:val="002E0722"/>
    <w:rsid w:val="002E1086"/>
    <w:rsid w:val="002E1A09"/>
    <w:rsid w:val="002E1BE6"/>
    <w:rsid w:val="002E1C83"/>
    <w:rsid w:val="002E1D8E"/>
    <w:rsid w:val="002E25AE"/>
    <w:rsid w:val="002E2E66"/>
    <w:rsid w:val="002E3B69"/>
    <w:rsid w:val="002E419E"/>
    <w:rsid w:val="002E4440"/>
    <w:rsid w:val="002E4DA2"/>
    <w:rsid w:val="002E51D1"/>
    <w:rsid w:val="002E5F95"/>
    <w:rsid w:val="002E601B"/>
    <w:rsid w:val="002E74E0"/>
    <w:rsid w:val="002E76A9"/>
    <w:rsid w:val="002E7D22"/>
    <w:rsid w:val="002E7FE3"/>
    <w:rsid w:val="002F0081"/>
    <w:rsid w:val="002F04AC"/>
    <w:rsid w:val="002F08B3"/>
    <w:rsid w:val="002F0D8D"/>
    <w:rsid w:val="002F0DBA"/>
    <w:rsid w:val="002F1352"/>
    <w:rsid w:val="002F1F06"/>
    <w:rsid w:val="002F2BD9"/>
    <w:rsid w:val="002F2E77"/>
    <w:rsid w:val="002F2E91"/>
    <w:rsid w:val="002F325B"/>
    <w:rsid w:val="002F3706"/>
    <w:rsid w:val="002F445D"/>
    <w:rsid w:val="002F4AAA"/>
    <w:rsid w:val="002F4B28"/>
    <w:rsid w:val="002F5F79"/>
    <w:rsid w:val="002F63AE"/>
    <w:rsid w:val="002F6754"/>
    <w:rsid w:val="002F6B47"/>
    <w:rsid w:val="002F6C8F"/>
    <w:rsid w:val="002F6F67"/>
    <w:rsid w:val="003008E1"/>
    <w:rsid w:val="003009A0"/>
    <w:rsid w:val="00300C27"/>
    <w:rsid w:val="00301E49"/>
    <w:rsid w:val="00301E75"/>
    <w:rsid w:val="00302B22"/>
    <w:rsid w:val="00302F70"/>
    <w:rsid w:val="00303442"/>
    <w:rsid w:val="00303C49"/>
    <w:rsid w:val="00304AED"/>
    <w:rsid w:val="00304CAE"/>
    <w:rsid w:val="0030512A"/>
    <w:rsid w:val="0030585C"/>
    <w:rsid w:val="00305D00"/>
    <w:rsid w:val="00306B35"/>
    <w:rsid w:val="0031049D"/>
    <w:rsid w:val="00310D84"/>
    <w:rsid w:val="003110C2"/>
    <w:rsid w:val="003110E7"/>
    <w:rsid w:val="00311766"/>
    <w:rsid w:val="003118C2"/>
    <w:rsid w:val="00312DC4"/>
    <w:rsid w:val="00312FF8"/>
    <w:rsid w:val="00313082"/>
    <w:rsid w:val="00313248"/>
    <w:rsid w:val="003136D1"/>
    <w:rsid w:val="00313ADA"/>
    <w:rsid w:val="003140C5"/>
    <w:rsid w:val="00314AB7"/>
    <w:rsid w:val="003159D6"/>
    <w:rsid w:val="003160A3"/>
    <w:rsid w:val="003162D0"/>
    <w:rsid w:val="00316309"/>
    <w:rsid w:val="00316E79"/>
    <w:rsid w:val="00317052"/>
    <w:rsid w:val="003170AA"/>
    <w:rsid w:val="0031716D"/>
    <w:rsid w:val="003178E4"/>
    <w:rsid w:val="00317E1F"/>
    <w:rsid w:val="0032013C"/>
    <w:rsid w:val="0032032C"/>
    <w:rsid w:val="003204E0"/>
    <w:rsid w:val="00320784"/>
    <w:rsid w:val="00320D01"/>
    <w:rsid w:val="003215CF"/>
    <w:rsid w:val="00321BA7"/>
    <w:rsid w:val="0032219A"/>
    <w:rsid w:val="00322981"/>
    <w:rsid w:val="00323635"/>
    <w:rsid w:val="003248E5"/>
    <w:rsid w:val="00325945"/>
    <w:rsid w:val="00326E71"/>
    <w:rsid w:val="00326EE1"/>
    <w:rsid w:val="003275BA"/>
    <w:rsid w:val="003276DF"/>
    <w:rsid w:val="003301A7"/>
    <w:rsid w:val="00330D6B"/>
    <w:rsid w:val="00330F54"/>
    <w:rsid w:val="0033137B"/>
    <w:rsid w:val="00331996"/>
    <w:rsid w:val="00331D56"/>
    <w:rsid w:val="0033247E"/>
    <w:rsid w:val="003326D7"/>
    <w:rsid w:val="00332B5D"/>
    <w:rsid w:val="00332FFF"/>
    <w:rsid w:val="003330D2"/>
    <w:rsid w:val="0033403B"/>
    <w:rsid w:val="003341BB"/>
    <w:rsid w:val="00334E7A"/>
    <w:rsid w:val="00334FDA"/>
    <w:rsid w:val="00335104"/>
    <w:rsid w:val="003358D8"/>
    <w:rsid w:val="003364DB"/>
    <w:rsid w:val="003365B0"/>
    <w:rsid w:val="003366FB"/>
    <w:rsid w:val="00336DF3"/>
    <w:rsid w:val="00336FBC"/>
    <w:rsid w:val="00337012"/>
    <w:rsid w:val="00337289"/>
    <w:rsid w:val="0033728A"/>
    <w:rsid w:val="0033754E"/>
    <w:rsid w:val="003375BF"/>
    <w:rsid w:val="00337770"/>
    <w:rsid w:val="00340C05"/>
    <w:rsid w:val="00340E4D"/>
    <w:rsid w:val="00341064"/>
    <w:rsid w:val="00341238"/>
    <w:rsid w:val="003412D6"/>
    <w:rsid w:val="003415B1"/>
    <w:rsid w:val="00342186"/>
    <w:rsid w:val="0034235B"/>
    <w:rsid w:val="003430FF"/>
    <w:rsid w:val="00343497"/>
    <w:rsid w:val="00343E6C"/>
    <w:rsid w:val="00344A28"/>
    <w:rsid w:val="00345458"/>
    <w:rsid w:val="00345B79"/>
    <w:rsid w:val="00345FA4"/>
    <w:rsid w:val="00346451"/>
    <w:rsid w:val="0034657F"/>
    <w:rsid w:val="0034686E"/>
    <w:rsid w:val="0034729F"/>
    <w:rsid w:val="00347F20"/>
    <w:rsid w:val="00347F22"/>
    <w:rsid w:val="00350585"/>
    <w:rsid w:val="00350698"/>
    <w:rsid w:val="00351DCE"/>
    <w:rsid w:val="0035228E"/>
    <w:rsid w:val="003523FD"/>
    <w:rsid w:val="00352688"/>
    <w:rsid w:val="003532B0"/>
    <w:rsid w:val="0035387C"/>
    <w:rsid w:val="003539EA"/>
    <w:rsid w:val="00354066"/>
    <w:rsid w:val="00354EDB"/>
    <w:rsid w:val="00354F20"/>
    <w:rsid w:val="0035580C"/>
    <w:rsid w:val="00355ACF"/>
    <w:rsid w:val="00355C83"/>
    <w:rsid w:val="00356155"/>
    <w:rsid w:val="00356373"/>
    <w:rsid w:val="00356953"/>
    <w:rsid w:val="00356C07"/>
    <w:rsid w:val="0035717C"/>
    <w:rsid w:val="0035718E"/>
    <w:rsid w:val="00357297"/>
    <w:rsid w:val="003574DB"/>
    <w:rsid w:val="0035755C"/>
    <w:rsid w:val="00357A35"/>
    <w:rsid w:val="00357E5A"/>
    <w:rsid w:val="00360692"/>
    <w:rsid w:val="00360ACF"/>
    <w:rsid w:val="0036163E"/>
    <w:rsid w:val="00361827"/>
    <w:rsid w:val="003618FB"/>
    <w:rsid w:val="00361909"/>
    <w:rsid w:val="00361AE2"/>
    <w:rsid w:val="003621DA"/>
    <w:rsid w:val="003623C8"/>
    <w:rsid w:val="00362F22"/>
    <w:rsid w:val="00362FB9"/>
    <w:rsid w:val="0036324F"/>
    <w:rsid w:val="00363DD9"/>
    <w:rsid w:val="00363E18"/>
    <w:rsid w:val="00363F63"/>
    <w:rsid w:val="00364081"/>
    <w:rsid w:val="00364529"/>
    <w:rsid w:val="003647A8"/>
    <w:rsid w:val="00364E4C"/>
    <w:rsid w:val="00364EB5"/>
    <w:rsid w:val="003651CB"/>
    <w:rsid w:val="0036561D"/>
    <w:rsid w:val="00365B65"/>
    <w:rsid w:val="00365CD7"/>
    <w:rsid w:val="00365D39"/>
    <w:rsid w:val="00365E04"/>
    <w:rsid w:val="00366C23"/>
    <w:rsid w:val="00367397"/>
    <w:rsid w:val="00367C1D"/>
    <w:rsid w:val="0037014E"/>
    <w:rsid w:val="00370BD0"/>
    <w:rsid w:val="00370DE7"/>
    <w:rsid w:val="0037126B"/>
    <w:rsid w:val="00371D3D"/>
    <w:rsid w:val="00372477"/>
    <w:rsid w:val="00372BF3"/>
    <w:rsid w:val="00372DE2"/>
    <w:rsid w:val="0037432D"/>
    <w:rsid w:val="00374886"/>
    <w:rsid w:val="003749B2"/>
    <w:rsid w:val="00374B2A"/>
    <w:rsid w:val="00374C55"/>
    <w:rsid w:val="00374EED"/>
    <w:rsid w:val="00375218"/>
    <w:rsid w:val="0037528C"/>
    <w:rsid w:val="00376590"/>
    <w:rsid w:val="003765E1"/>
    <w:rsid w:val="00377694"/>
    <w:rsid w:val="0037772A"/>
    <w:rsid w:val="00377DDF"/>
    <w:rsid w:val="0038012C"/>
    <w:rsid w:val="003813EF"/>
    <w:rsid w:val="003819A0"/>
    <w:rsid w:val="00382AFB"/>
    <w:rsid w:val="00382FDD"/>
    <w:rsid w:val="00383029"/>
    <w:rsid w:val="00383243"/>
    <w:rsid w:val="003836A6"/>
    <w:rsid w:val="00383B0F"/>
    <w:rsid w:val="00383BC7"/>
    <w:rsid w:val="0038448E"/>
    <w:rsid w:val="00384690"/>
    <w:rsid w:val="003848DB"/>
    <w:rsid w:val="003848F0"/>
    <w:rsid w:val="00384D00"/>
    <w:rsid w:val="00384D73"/>
    <w:rsid w:val="00384D74"/>
    <w:rsid w:val="003851E2"/>
    <w:rsid w:val="003856AB"/>
    <w:rsid w:val="0038583F"/>
    <w:rsid w:val="00385D49"/>
    <w:rsid w:val="00386F93"/>
    <w:rsid w:val="00390D20"/>
    <w:rsid w:val="00391335"/>
    <w:rsid w:val="0039161B"/>
    <w:rsid w:val="00391C35"/>
    <w:rsid w:val="00391E3E"/>
    <w:rsid w:val="0039372B"/>
    <w:rsid w:val="0039375C"/>
    <w:rsid w:val="003939CC"/>
    <w:rsid w:val="00393AA3"/>
    <w:rsid w:val="00393B0A"/>
    <w:rsid w:val="00393E57"/>
    <w:rsid w:val="003943D7"/>
    <w:rsid w:val="00394513"/>
    <w:rsid w:val="00394ECC"/>
    <w:rsid w:val="00395366"/>
    <w:rsid w:val="00395F07"/>
    <w:rsid w:val="00396CEA"/>
    <w:rsid w:val="00396D91"/>
    <w:rsid w:val="00397141"/>
    <w:rsid w:val="003974A0"/>
    <w:rsid w:val="00397831"/>
    <w:rsid w:val="00397FB2"/>
    <w:rsid w:val="003A0185"/>
    <w:rsid w:val="003A01C1"/>
    <w:rsid w:val="003A0500"/>
    <w:rsid w:val="003A07BC"/>
    <w:rsid w:val="003A0D04"/>
    <w:rsid w:val="003A191C"/>
    <w:rsid w:val="003A289D"/>
    <w:rsid w:val="003A2A6E"/>
    <w:rsid w:val="003A3178"/>
    <w:rsid w:val="003A3B70"/>
    <w:rsid w:val="003A4933"/>
    <w:rsid w:val="003A4BAD"/>
    <w:rsid w:val="003A4DCE"/>
    <w:rsid w:val="003A4E83"/>
    <w:rsid w:val="003A6A0D"/>
    <w:rsid w:val="003A727B"/>
    <w:rsid w:val="003A731F"/>
    <w:rsid w:val="003A7381"/>
    <w:rsid w:val="003A786C"/>
    <w:rsid w:val="003B00F6"/>
    <w:rsid w:val="003B01D4"/>
    <w:rsid w:val="003B04C0"/>
    <w:rsid w:val="003B1E71"/>
    <w:rsid w:val="003B2A61"/>
    <w:rsid w:val="003B2F5D"/>
    <w:rsid w:val="003B30BB"/>
    <w:rsid w:val="003B323B"/>
    <w:rsid w:val="003B365A"/>
    <w:rsid w:val="003B36FF"/>
    <w:rsid w:val="003B48D7"/>
    <w:rsid w:val="003B4C44"/>
    <w:rsid w:val="003B4C64"/>
    <w:rsid w:val="003B4CED"/>
    <w:rsid w:val="003B53C6"/>
    <w:rsid w:val="003B5ABE"/>
    <w:rsid w:val="003B5FDD"/>
    <w:rsid w:val="003B62A9"/>
    <w:rsid w:val="003B634D"/>
    <w:rsid w:val="003B6440"/>
    <w:rsid w:val="003B6A88"/>
    <w:rsid w:val="003B7482"/>
    <w:rsid w:val="003B78BB"/>
    <w:rsid w:val="003B7F66"/>
    <w:rsid w:val="003C026C"/>
    <w:rsid w:val="003C0BD3"/>
    <w:rsid w:val="003C0FE6"/>
    <w:rsid w:val="003C15A1"/>
    <w:rsid w:val="003C1ADA"/>
    <w:rsid w:val="003C1BD0"/>
    <w:rsid w:val="003C1E9D"/>
    <w:rsid w:val="003C30A1"/>
    <w:rsid w:val="003C37CF"/>
    <w:rsid w:val="003C37D1"/>
    <w:rsid w:val="003C393E"/>
    <w:rsid w:val="003C3F1C"/>
    <w:rsid w:val="003C479B"/>
    <w:rsid w:val="003C59FF"/>
    <w:rsid w:val="003C628A"/>
    <w:rsid w:val="003C7AAF"/>
    <w:rsid w:val="003D01F7"/>
    <w:rsid w:val="003D0472"/>
    <w:rsid w:val="003D1421"/>
    <w:rsid w:val="003D17A1"/>
    <w:rsid w:val="003D19FF"/>
    <w:rsid w:val="003D24C8"/>
    <w:rsid w:val="003D282B"/>
    <w:rsid w:val="003D2A5C"/>
    <w:rsid w:val="003D2FE0"/>
    <w:rsid w:val="003D3030"/>
    <w:rsid w:val="003D34D8"/>
    <w:rsid w:val="003D40F1"/>
    <w:rsid w:val="003D418C"/>
    <w:rsid w:val="003D4820"/>
    <w:rsid w:val="003D4852"/>
    <w:rsid w:val="003D50D8"/>
    <w:rsid w:val="003D5168"/>
    <w:rsid w:val="003D54F4"/>
    <w:rsid w:val="003D5727"/>
    <w:rsid w:val="003D596A"/>
    <w:rsid w:val="003D6175"/>
    <w:rsid w:val="003D64B6"/>
    <w:rsid w:val="003D6746"/>
    <w:rsid w:val="003D7214"/>
    <w:rsid w:val="003D769A"/>
    <w:rsid w:val="003D7933"/>
    <w:rsid w:val="003D7941"/>
    <w:rsid w:val="003E005C"/>
    <w:rsid w:val="003E0489"/>
    <w:rsid w:val="003E04FF"/>
    <w:rsid w:val="003E0B40"/>
    <w:rsid w:val="003E0D23"/>
    <w:rsid w:val="003E0D34"/>
    <w:rsid w:val="003E16F8"/>
    <w:rsid w:val="003E280B"/>
    <w:rsid w:val="003E31AC"/>
    <w:rsid w:val="003E3361"/>
    <w:rsid w:val="003E349C"/>
    <w:rsid w:val="003E3DB0"/>
    <w:rsid w:val="003E5276"/>
    <w:rsid w:val="003E5401"/>
    <w:rsid w:val="003E5561"/>
    <w:rsid w:val="003E5651"/>
    <w:rsid w:val="003E5E33"/>
    <w:rsid w:val="003E65E1"/>
    <w:rsid w:val="003E65F6"/>
    <w:rsid w:val="003E6ED1"/>
    <w:rsid w:val="003E7399"/>
    <w:rsid w:val="003F00A7"/>
    <w:rsid w:val="003F0C93"/>
    <w:rsid w:val="003F23CD"/>
    <w:rsid w:val="003F2A44"/>
    <w:rsid w:val="003F2C6E"/>
    <w:rsid w:val="003F2E87"/>
    <w:rsid w:val="003F2F93"/>
    <w:rsid w:val="003F37BA"/>
    <w:rsid w:val="003F39C7"/>
    <w:rsid w:val="003F4950"/>
    <w:rsid w:val="003F504E"/>
    <w:rsid w:val="003F53E5"/>
    <w:rsid w:val="003F56C6"/>
    <w:rsid w:val="003F5712"/>
    <w:rsid w:val="003F5872"/>
    <w:rsid w:val="003F59E7"/>
    <w:rsid w:val="003F5C07"/>
    <w:rsid w:val="003F5DB1"/>
    <w:rsid w:val="003F63A1"/>
    <w:rsid w:val="003F6B3B"/>
    <w:rsid w:val="003F6E62"/>
    <w:rsid w:val="003F72E6"/>
    <w:rsid w:val="003F7514"/>
    <w:rsid w:val="003F76BE"/>
    <w:rsid w:val="004008F0"/>
    <w:rsid w:val="00400A3B"/>
    <w:rsid w:val="00401169"/>
    <w:rsid w:val="00401878"/>
    <w:rsid w:val="00401899"/>
    <w:rsid w:val="0040193C"/>
    <w:rsid w:val="00401B52"/>
    <w:rsid w:val="00401E0C"/>
    <w:rsid w:val="004020DD"/>
    <w:rsid w:val="004022B0"/>
    <w:rsid w:val="0040278F"/>
    <w:rsid w:val="00403B69"/>
    <w:rsid w:val="00404128"/>
    <w:rsid w:val="00404357"/>
    <w:rsid w:val="004051F8"/>
    <w:rsid w:val="004058EF"/>
    <w:rsid w:val="004063F1"/>
    <w:rsid w:val="004065C8"/>
    <w:rsid w:val="00406BFA"/>
    <w:rsid w:val="00406D67"/>
    <w:rsid w:val="00406E8F"/>
    <w:rsid w:val="00407549"/>
    <w:rsid w:val="00407658"/>
    <w:rsid w:val="00407F62"/>
    <w:rsid w:val="00410047"/>
    <w:rsid w:val="00410A5F"/>
    <w:rsid w:val="00410FF0"/>
    <w:rsid w:val="00411AC8"/>
    <w:rsid w:val="00411D68"/>
    <w:rsid w:val="004128A5"/>
    <w:rsid w:val="00412F01"/>
    <w:rsid w:val="00413C2B"/>
    <w:rsid w:val="00413D70"/>
    <w:rsid w:val="004142B8"/>
    <w:rsid w:val="00414775"/>
    <w:rsid w:val="00414926"/>
    <w:rsid w:val="00414E42"/>
    <w:rsid w:val="00414EBD"/>
    <w:rsid w:val="00416567"/>
    <w:rsid w:val="00417695"/>
    <w:rsid w:val="0041794A"/>
    <w:rsid w:val="00417CBF"/>
    <w:rsid w:val="00417F03"/>
    <w:rsid w:val="004208A0"/>
    <w:rsid w:val="004208AD"/>
    <w:rsid w:val="00420BDF"/>
    <w:rsid w:val="00420DB8"/>
    <w:rsid w:val="0042127E"/>
    <w:rsid w:val="0042137C"/>
    <w:rsid w:val="00421762"/>
    <w:rsid w:val="00422380"/>
    <w:rsid w:val="0042244A"/>
    <w:rsid w:val="004226BD"/>
    <w:rsid w:val="00424D42"/>
    <w:rsid w:val="00424E25"/>
    <w:rsid w:val="0042509C"/>
    <w:rsid w:val="00425366"/>
    <w:rsid w:val="00425AFB"/>
    <w:rsid w:val="00425B78"/>
    <w:rsid w:val="004267BB"/>
    <w:rsid w:val="004267F2"/>
    <w:rsid w:val="00426F25"/>
    <w:rsid w:val="0042734A"/>
    <w:rsid w:val="00427651"/>
    <w:rsid w:val="004304D5"/>
    <w:rsid w:val="004316E1"/>
    <w:rsid w:val="00431B0D"/>
    <w:rsid w:val="00431F6C"/>
    <w:rsid w:val="0043254E"/>
    <w:rsid w:val="00432C9D"/>
    <w:rsid w:val="0043310D"/>
    <w:rsid w:val="00433670"/>
    <w:rsid w:val="0043381B"/>
    <w:rsid w:val="00434DAD"/>
    <w:rsid w:val="00435291"/>
    <w:rsid w:val="00435B15"/>
    <w:rsid w:val="004360AE"/>
    <w:rsid w:val="004362DB"/>
    <w:rsid w:val="00436409"/>
    <w:rsid w:val="004368A8"/>
    <w:rsid w:val="00436924"/>
    <w:rsid w:val="00436FE8"/>
    <w:rsid w:val="0043703A"/>
    <w:rsid w:val="00437461"/>
    <w:rsid w:val="0043775D"/>
    <w:rsid w:val="0043783C"/>
    <w:rsid w:val="00437964"/>
    <w:rsid w:val="00441119"/>
    <w:rsid w:val="00441208"/>
    <w:rsid w:val="00441555"/>
    <w:rsid w:val="00441794"/>
    <w:rsid w:val="00441C2C"/>
    <w:rsid w:val="004424DE"/>
    <w:rsid w:val="0044273C"/>
    <w:rsid w:val="00442D29"/>
    <w:rsid w:val="00443662"/>
    <w:rsid w:val="00443699"/>
    <w:rsid w:val="0044375B"/>
    <w:rsid w:val="00443798"/>
    <w:rsid w:val="00443BB3"/>
    <w:rsid w:val="00443E92"/>
    <w:rsid w:val="00444395"/>
    <w:rsid w:val="0044472D"/>
    <w:rsid w:val="00444BE9"/>
    <w:rsid w:val="00444F3C"/>
    <w:rsid w:val="0044503F"/>
    <w:rsid w:val="00445138"/>
    <w:rsid w:val="004453FA"/>
    <w:rsid w:val="00445A34"/>
    <w:rsid w:val="00445A6C"/>
    <w:rsid w:val="0044652E"/>
    <w:rsid w:val="0044689D"/>
    <w:rsid w:val="0044698D"/>
    <w:rsid w:val="00446D69"/>
    <w:rsid w:val="00447E93"/>
    <w:rsid w:val="0045004B"/>
    <w:rsid w:val="00450820"/>
    <w:rsid w:val="00450B56"/>
    <w:rsid w:val="00450CB3"/>
    <w:rsid w:val="004510F5"/>
    <w:rsid w:val="00451210"/>
    <w:rsid w:val="004513E4"/>
    <w:rsid w:val="00451711"/>
    <w:rsid w:val="00451BE8"/>
    <w:rsid w:val="00452139"/>
    <w:rsid w:val="0045236B"/>
    <w:rsid w:val="0045236C"/>
    <w:rsid w:val="00452DCE"/>
    <w:rsid w:val="00452EB3"/>
    <w:rsid w:val="004530FB"/>
    <w:rsid w:val="00453659"/>
    <w:rsid w:val="00454870"/>
    <w:rsid w:val="00454A95"/>
    <w:rsid w:val="0045505D"/>
    <w:rsid w:val="0045530E"/>
    <w:rsid w:val="00456055"/>
    <w:rsid w:val="00456D16"/>
    <w:rsid w:val="00456DB3"/>
    <w:rsid w:val="004575CE"/>
    <w:rsid w:val="004575FF"/>
    <w:rsid w:val="00457D4B"/>
    <w:rsid w:val="004604F8"/>
    <w:rsid w:val="00461038"/>
    <w:rsid w:val="0046145C"/>
    <w:rsid w:val="004630ED"/>
    <w:rsid w:val="004631A5"/>
    <w:rsid w:val="00463551"/>
    <w:rsid w:val="00463EFA"/>
    <w:rsid w:val="00464180"/>
    <w:rsid w:val="004645BD"/>
    <w:rsid w:val="00464831"/>
    <w:rsid w:val="0046489E"/>
    <w:rsid w:val="004648C0"/>
    <w:rsid w:val="00464AB9"/>
    <w:rsid w:val="00464D27"/>
    <w:rsid w:val="004655F6"/>
    <w:rsid w:val="00465B37"/>
    <w:rsid w:val="00465FDC"/>
    <w:rsid w:val="00466114"/>
    <w:rsid w:val="00466355"/>
    <w:rsid w:val="00466677"/>
    <w:rsid w:val="00466B7D"/>
    <w:rsid w:val="00466C39"/>
    <w:rsid w:val="00466EED"/>
    <w:rsid w:val="00466EFF"/>
    <w:rsid w:val="00467DED"/>
    <w:rsid w:val="00470343"/>
    <w:rsid w:val="0047143E"/>
    <w:rsid w:val="004717BE"/>
    <w:rsid w:val="00471B47"/>
    <w:rsid w:val="00473194"/>
    <w:rsid w:val="00473521"/>
    <w:rsid w:val="00473F19"/>
    <w:rsid w:val="00474237"/>
    <w:rsid w:val="00474713"/>
    <w:rsid w:val="00474AD2"/>
    <w:rsid w:val="00474BC1"/>
    <w:rsid w:val="00474DBE"/>
    <w:rsid w:val="004755CC"/>
    <w:rsid w:val="004758FC"/>
    <w:rsid w:val="004763FF"/>
    <w:rsid w:val="00476609"/>
    <w:rsid w:val="00476F25"/>
    <w:rsid w:val="00477364"/>
    <w:rsid w:val="00477445"/>
    <w:rsid w:val="0047796E"/>
    <w:rsid w:val="00477991"/>
    <w:rsid w:val="00477999"/>
    <w:rsid w:val="00477B5F"/>
    <w:rsid w:val="00477DB1"/>
    <w:rsid w:val="004809EC"/>
    <w:rsid w:val="00481A23"/>
    <w:rsid w:val="00482314"/>
    <w:rsid w:val="004823EB"/>
    <w:rsid w:val="00482450"/>
    <w:rsid w:val="00482DE6"/>
    <w:rsid w:val="00482E44"/>
    <w:rsid w:val="004833D3"/>
    <w:rsid w:val="00483456"/>
    <w:rsid w:val="00483BDA"/>
    <w:rsid w:val="00483D68"/>
    <w:rsid w:val="00484660"/>
    <w:rsid w:val="00484719"/>
    <w:rsid w:val="004851DA"/>
    <w:rsid w:val="00485406"/>
    <w:rsid w:val="004855C6"/>
    <w:rsid w:val="00485809"/>
    <w:rsid w:val="00485C9E"/>
    <w:rsid w:val="00486377"/>
    <w:rsid w:val="004864DB"/>
    <w:rsid w:val="00486717"/>
    <w:rsid w:val="00486E18"/>
    <w:rsid w:val="00486ED4"/>
    <w:rsid w:val="00486F24"/>
    <w:rsid w:val="00487698"/>
    <w:rsid w:val="004879E6"/>
    <w:rsid w:val="00487DFD"/>
    <w:rsid w:val="0049030E"/>
    <w:rsid w:val="00490B6B"/>
    <w:rsid w:val="00491188"/>
    <w:rsid w:val="004916F1"/>
    <w:rsid w:val="004917B9"/>
    <w:rsid w:val="004926C1"/>
    <w:rsid w:val="0049397A"/>
    <w:rsid w:val="00494AB1"/>
    <w:rsid w:val="00494E04"/>
    <w:rsid w:val="00494EF9"/>
    <w:rsid w:val="004954C1"/>
    <w:rsid w:val="00495556"/>
    <w:rsid w:val="00495944"/>
    <w:rsid w:val="00495A55"/>
    <w:rsid w:val="00495B1E"/>
    <w:rsid w:val="00495E24"/>
    <w:rsid w:val="00495E71"/>
    <w:rsid w:val="0049600D"/>
    <w:rsid w:val="004961D1"/>
    <w:rsid w:val="004969BA"/>
    <w:rsid w:val="00496C84"/>
    <w:rsid w:val="00496DFB"/>
    <w:rsid w:val="004973F8"/>
    <w:rsid w:val="00497F43"/>
    <w:rsid w:val="004A0014"/>
    <w:rsid w:val="004A021B"/>
    <w:rsid w:val="004A0A5F"/>
    <w:rsid w:val="004A0D31"/>
    <w:rsid w:val="004A1833"/>
    <w:rsid w:val="004A18B1"/>
    <w:rsid w:val="004A1975"/>
    <w:rsid w:val="004A22E4"/>
    <w:rsid w:val="004A2786"/>
    <w:rsid w:val="004A2A5B"/>
    <w:rsid w:val="004A31CA"/>
    <w:rsid w:val="004A3A2E"/>
    <w:rsid w:val="004A43A5"/>
    <w:rsid w:val="004A5A08"/>
    <w:rsid w:val="004A5A78"/>
    <w:rsid w:val="004A5A94"/>
    <w:rsid w:val="004A6054"/>
    <w:rsid w:val="004A6AC8"/>
    <w:rsid w:val="004A6C9B"/>
    <w:rsid w:val="004A74D6"/>
    <w:rsid w:val="004A751B"/>
    <w:rsid w:val="004A7B3A"/>
    <w:rsid w:val="004B0446"/>
    <w:rsid w:val="004B0749"/>
    <w:rsid w:val="004B0F02"/>
    <w:rsid w:val="004B118D"/>
    <w:rsid w:val="004B13A9"/>
    <w:rsid w:val="004B1667"/>
    <w:rsid w:val="004B2299"/>
    <w:rsid w:val="004B24B9"/>
    <w:rsid w:val="004B25BD"/>
    <w:rsid w:val="004B2624"/>
    <w:rsid w:val="004B2984"/>
    <w:rsid w:val="004B2AC5"/>
    <w:rsid w:val="004B320A"/>
    <w:rsid w:val="004B3AA7"/>
    <w:rsid w:val="004B48C5"/>
    <w:rsid w:val="004B4A43"/>
    <w:rsid w:val="004B4FD4"/>
    <w:rsid w:val="004B5562"/>
    <w:rsid w:val="004B570C"/>
    <w:rsid w:val="004B5788"/>
    <w:rsid w:val="004B643B"/>
    <w:rsid w:val="004B6AB8"/>
    <w:rsid w:val="004B718C"/>
    <w:rsid w:val="004B7354"/>
    <w:rsid w:val="004B751E"/>
    <w:rsid w:val="004C0288"/>
    <w:rsid w:val="004C0738"/>
    <w:rsid w:val="004C07EA"/>
    <w:rsid w:val="004C09D2"/>
    <w:rsid w:val="004C2340"/>
    <w:rsid w:val="004C34AB"/>
    <w:rsid w:val="004C38A4"/>
    <w:rsid w:val="004C3F62"/>
    <w:rsid w:val="004C439D"/>
    <w:rsid w:val="004C5332"/>
    <w:rsid w:val="004C5A0E"/>
    <w:rsid w:val="004C6163"/>
    <w:rsid w:val="004C6303"/>
    <w:rsid w:val="004C6702"/>
    <w:rsid w:val="004C78AA"/>
    <w:rsid w:val="004C7BB9"/>
    <w:rsid w:val="004D1491"/>
    <w:rsid w:val="004D174D"/>
    <w:rsid w:val="004D1A48"/>
    <w:rsid w:val="004D1BD5"/>
    <w:rsid w:val="004D2571"/>
    <w:rsid w:val="004D2608"/>
    <w:rsid w:val="004D2825"/>
    <w:rsid w:val="004D2B3B"/>
    <w:rsid w:val="004D3139"/>
    <w:rsid w:val="004D3814"/>
    <w:rsid w:val="004D3959"/>
    <w:rsid w:val="004D3C1E"/>
    <w:rsid w:val="004D4400"/>
    <w:rsid w:val="004D4832"/>
    <w:rsid w:val="004D4C10"/>
    <w:rsid w:val="004D4FE5"/>
    <w:rsid w:val="004D50C3"/>
    <w:rsid w:val="004D5922"/>
    <w:rsid w:val="004D6BBA"/>
    <w:rsid w:val="004D7365"/>
    <w:rsid w:val="004D7517"/>
    <w:rsid w:val="004D7522"/>
    <w:rsid w:val="004D79FF"/>
    <w:rsid w:val="004D7CD3"/>
    <w:rsid w:val="004E010E"/>
    <w:rsid w:val="004E03C7"/>
    <w:rsid w:val="004E06B6"/>
    <w:rsid w:val="004E0E94"/>
    <w:rsid w:val="004E0F0A"/>
    <w:rsid w:val="004E14E3"/>
    <w:rsid w:val="004E177C"/>
    <w:rsid w:val="004E17A7"/>
    <w:rsid w:val="004E1A63"/>
    <w:rsid w:val="004E1B81"/>
    <w:rsid w:val="004E1F18"/>
    <w:rsid w:val="004E1FFC"/>
    <w:rsid w:val="004E2B29"/>
    <w:rsid w:val="004E2B37"/>
    <w:rsid w:val="004E32E2"/>
    <w:rsid w:val="004E4532"/>
    <w:rsid w:val="004E47B0"/>
    <w:rsid w:val="004E4C85"/>
    <w:rsid w:val="004E5416"/>
    <w:rsid w:val="004E558F"/>
    <w:rsid w:val="004E59D7"/>
    <w:rsid w:val="004E5BEF"/>
    <w:rsid w:val="004E6520"/>
    <w:rsid w:val="004E676D"/>
    <w:rsid w:val="004E67BE"/>
    <w:rsid w:val="004E6A35"/>
    <w:rsid w:val="004E714D"/>
    <w:rsid w:val="004E74FE"/>
    <w:rsid w:val="004E75A5"/>
    <w:rsid w:val="004E7EAF"/>
    <w:rsid w:val="004F0493"/>
    <w:rsid w:val="004F08D7"/>
    <w:rsid w:val="004F0E1E"/>
    <w:rsid w:val="004F1C2D"/>
    <w:rsid w:val="004F225E"/>
    <w:rsid w:val="004F3567"/>
    <w:rsid w:val="004F3FC9"/>
    <w:rsid w:val="004F4762"/>
    <w:rsid w:val="004F4F51"/>
    <w:rsid w:val="004F526B"/>
    <w:rsid w:val="004F5AA8"/>
    <w:rsid w:val="004F5D4A"/>
    <w:rsid w:val="004F6BD6"/>
    <w:rsid w:val="004F6EA9"/>
    <w:rsid w:val="004F7A09"/>
    <w:rsid w:val="004F7D95"/>
    <w:rsid w:val="0050009E"/>
    <w:rsid w:val="00500A11"/>
    <w:rsid w:val="005011B0"/>
    <w:rsid w:val="0050162E"/>
    <w:rsid w:val="005018A2"/>
    <w:rsid w:val="00501C93"/>
    <w:rsid w:val="00501F2D"/>
    <w:rsid w:val="00502025"/>
    <w:rsid w:val="005024CD"/>
    <w:rsid w:val="00502999"/>
    <w:rsid w:val="005032E8"/>
    <w:rsid w:val="005036D3"/>
    <w:rsid w:val="00503CC5"/>
    <w:rsid w:val="0050407C"/>
    <w:rsid w:val="00504785"/>
    <w:rsid w:val="00504EDB"/>
    <w:rsid w:val="005051CF"/>
    <w:rsid w:val="00505A67"/>
    <w:rsid w:val="00505DCC"/>
    <w:rsid w:val="005060D2"/>
    <w:rsid w:val="005069F9"/>
    <w:rsid w:val="00507EE5"/>
    <w:rsid w:val="00507FE3"/>
    <w:rsid w:val="00510734"/>
    <w:rsid w:val="00511A96"/>
    <w:rsid w:val="00511ACB"/>
    <w:rsid w:val="0051302E"/>
    <w:rsid w:val="00513D60"/>
    <w:rsid w:val="005142F5"/>
    <w:rsid w:val="00514B7B"/>
    <w:rsid w:val="00514BD1"/>
    <w:rsid w:val="00514C3C"/>
    <w:rsid w:val="0051530E"/>
    <w:rsid w:val="00515456"/>
    <w:rsid w:val="005156FB"/>
    <w:rsid w:val="005158B4"/>
    <w:rsid w:val="00515A9F"/>
    <w:rsid w:val="00517372"/>
    <w:rsid w:val="0051795B"/>
    <w:rsid w:val="00520727"/>
    <w:rsid w:val="00520FA1"/>
    <w:rsid w:val="005216C1"/>
    <w:rsid w:val="0052175C"/>
    <w:rsid w:val="0052194B"/>
    <w:rsid w:val="0052197A"/>
    <w:rsid w:val="00522951"/>
    <w:rsid w:val="00522B5A"/>
    <w:rsid w:val="005237DA"/>
    <w:rsid w:val="005238FE"/>
    <w:rsid w:val="00524873"/>
    <w:rsid w:val="0052502A"/>
    <w:rsid w:val="00525A1A"/>
    <w:rsid w:val="00525BDA"/>
    <w:rsid w:val="005263DC"/>
    <w:rsid w:val="00526B4D"/>
    <w:rsid w:val="005275E7"/>
    <w:rsid w:val="00527E02"/>
    <w:rsid w:val="00530091"/>
    <w:rsid w:val="00530D70"/>
    <w:rsid w:val="005311B3"/>
    <w:rsid w:val="005313AD"/>
    <w:rsid w:val="00531C5B"/>
    <w:rsid w:val="00531E01"/>
    <w:rsid w:val="00531FC5"/>
    <w:rsid w:val="00532099"/>
    <w:rsid w:val="00532136"/>
    <w:rsid w:val="00532339"/>
    <w:rsid w:val="00532537"/>
    <w:rsid w:val="00532906"/>
    <w:rsid w:val="00533800"/>
    <w:rsid w:val="0053426F"/>
    <w:rsid w:val="005349E2"/>
    <w:rsid w:val="00534F88"/>
    <w:rsid w:val="00535DD1"/>
    <w:rsid w:val="005364D4"/>
    <w:rsid w:val="00537FDF"/>
    <w:rsid w:val="0054017C"/>
    <w:rsid w:val="0054040F"/>
    <w:rsid w:val="005405DA"/>
    <w:rsid w:val="00540645"/>
    <w:rsid w:val="0054091D"/>
    <w:rsid w:val="00540954"/>
    <w:rsid w:val="00540BBC"/>
    <w:rsid w:val="00541255"/>
    <w:rsid w:val="0054158F"/>
    <w:rsid w:val="0054172F"/>
    <w:rsid w:val="0054199C"/>
    <w:rsid w:val="005420ED"/>
    <w:rsid w:val="00542CB1"/>
    <w:rsid w:val="005437FD"/>
    <w:rsid w:val="00544412"/>
    <w:rsid w:val="005445E0"/>
    <w:rsid w:val="0054491E"/>
    <w:rsid w:val="00544971"/>
    <w:rsid w:val="00544DE4"/>
    <w:rsid w:val="00545891"/>
    <w:rsid w:val="00545E7E"/>
    <w:rsid w:val="00546523"/>
    <w:rsid w:val="00546612"/>
    <w:rsid w:val="005469EE"/>
    <w:rsid w:val="00546D42"/>
    <w:rsid w:val="00547202"/>
    <w:rsid w:val="0054733C"/>
    <w:rsid w:val="005475FB"/>
    <w:rsid w:val="005509AA"/>
    <w:rsid w:val="005509B0"/>
    <w:rsid w:val="0055100E"/>
    <w:rsid w:val="00551748"/>
    <w:rsid w:val="005517DC"/>
    <w:rsid w:val="0055285E"/>
    <w:rsid w:val="0055296E"/>
    <w:rsid w:val="00552990"/>
    <w:rsid w:val="00552EE8"/>
    <w:rsid w:val="005537F0"/>
    <w:rsid w:val="00553FF5"/>
    <w:rsid w:val="0055432C"/>
    <w:rsid w:val="00554C27"/>
    <w:rsid w:val="00555229"/>
    <w:rsid w:val="00555C43"/>
    <w:rsid w:val="005564E0"/>
    <w:rsid w:val="00556618"/>
    <w:rsid w:val="00556C43"/>
    <w:rsid w:val="00557470"/>
    <w:rsid w:val="005574B5"/>
    <w:rsid w:val="00557C23"/>
    <w:rsid w:val="005609D7"/>
    <w:rsid w:val="00561D14"/>
    <w:rsid w:val="00561E07"/>
    <w:rsid w:val="005621AB"/>
    <w:rsid w:val="005627C4"/>
    <w:rsid w:val="005627FC"/>
    <w:rsid w:val="005632E7"/>
    <w:rsid w:val="00563433"/>
    <w:rsid w:val="005635BE"/>
    <w:rsid w:val="00563D82"/>
    <w:rsid w:val="00564213"/>
    <w:rsid w:val="00564CED"/>
    <w:rsid w:val="00564E2E"/>
    <w:rsid w:val="005652E7"/>
    <w:rsid w:val="0056554F"/>
    <w:rsid w:val="00565DC9"/>
    <w:rsid w:val="00566594"/>
    <w:rsid w:val="0056659D"/>
    <w:rsid w:val="00566B87"/>
    <w:rsid w:val="00566CD9"/>
    <w:rsid w:val="00566E2E"/>
    <w:rsid w:val="00566E33"/>
    <w:rsid w:val="00567325"/>
    <w:rsid w:val="0056798A"/>
    <w:rsid w:val="0057047B"/>
    <w:rsid w:val="00570C6C"/>
    <w:rsid w:val="00571058"/>
    <w:rsid w:val="0057119E"/>
    <w:rsid w:val="0057151C"/>
    <w:rsid w:val="005716E1"/>
    <w:rsid w:val="005719CD"/>
    <w:rsid w:val="00571E13"/>
    <w:rsid w:val="00571E53"/>
    <w:rsid w:val="00571FC1"/>
    <w:rsid w:val="0057223C"/>
    <w:rsid w:val="00572B65"/>
    <w:rsid w:val="00572CA3"/>
    <w:rsid w:val="005731BE"/>
    <w:rsid w:val="0057363C"/>
    <w:rsid w:val="00573B34"/>
    <w:rsid w:val="00573B9C"/>
    <w:rsid w:val="00574963"/>
    <w:rsid w:val="00574AB1"/>
    <w:rsid w:val="00575C35"/>
    <w:rsid w:val="0057643A"/>
    <w:rsid w:val="005764E1"/>
    <w:rsid w:val="00577041"/>
    <w:rsid w:val="005776B0"/>
    <w:rsid w:val="00577F64"/>
    <w:rsid w:val="0058095A"/>
    <w:rsid w:val="00580C8E"/>
    <w:rsid w:val="00581768"/>
    <w:rsid w:val="005822BA"/>
    <w:rsid w:val="00582427"/>
    <w:rsid w:val="00582592"/>
    <w:rsid w:val="005832A7"/>
    <w:rsid w:val="00583630"/>
    <w:rsid w:val="00583A52"/>
    <w:rsid w:val="00583E7B"/>
    <w:rsid w:val="00584256"/>
    <w:rsid w:val="005842A9"/>
    <w:rsid w:val="005842E9"/>
    <w:rsid w:val="0058481F"/>
    <w:rsid w:val="005848FC"/>
    <w:rsid w:val="00584AAF"/>
    <w:rsid w:val="00584CED"/>
    <w:rsid w:val="00585229"/>
    <w:rsid w:val="00585B30"/>
    <w:rsid w:val="0058674E"/>
    <w:rsid w:val="00586CA8"/>
    <w:rsid w:val="005875B5"/>
    <w:rsid w:val="00590515"/>
    <w:rsid w:val="00590B0F"/>
    <w:rsid w:val="00590C8A"/>
    <w:rsid w:val="005911A7"/>
    <w:rsid w:val="0059145C"/>
    <w:rsid w:val="005917FE"/>
    <w:rsid w:val="005918BA"/>
    <w:rsid w:val="005919B4"/>
    <w:rsid w:val="00591D48"/>
    <w:rsid w:val="00592231"/>
    <w:rsid w:val="0059255D"/>
    <w:rsid w:val="00592F1A"/>
    <w:rsid w:val="00593F56"/>
    <w:rsid w:val="005945DB"/>
    <w:rsid w:val="00594D2D"/>
    <w:rsid w:val="0059529A"/>
    <w:rsid w:val="005953F3"/>
    <w:rsid w:val="00595405"/>
    <w:rsid w:val="0059547C"/>
    <w:rsid w:val="00595C0B"/>
    <w:rsid w:val="00595CD2"/>
    <w:rsid w:val="00596003"/>
    <w:rsid w:val="005968DC"/>
    <w:rsid w:val="00596FCB"/>
    <w:rsid w:val="00597E72"/>
    <w:rsid w:val="00597EFB"/>
    <w:rsid w:val="005A03E7"/>
    <w:rsid w:val="005A1038"/>
    <w:rsid w:val="005A1385"/>
    <w:rsid w:val="005A19EB"/>
    <w:rsid w:val="005A1CDC"/>
    <w:rsid w:val="005A1D6E"/>
    <w:rsid w:val="005A1FE6"/>
    <w:rsid w:val="005A217C"/>
    <w:rsid w:val="005A22FF"/>
    <w:rsid w:val="005A2E44"/>
    <w:rsid w:val="005A2E53"/>
    <w:rsid w:val="005A2E67"/>
    <w:rsid w:val="005A2EA7"/>
    <w:rsid w:val="005A2EE7"/>
    <w:rsid w:val="005A318B"/>
    <w:rsid w:val="005A3DB4"/>
    <w:rsid w:val="005A4923"/>
    <w:rsid w:val="005A492A"/>
    <w:rsid w:val="005A4A3E"/>
    <w:rsid w:val="005A4B84"/>
    <w:rsid w:val="005A54AE"/>
    <w:rsid w:val="005A5599"/>
    <w:rsid w:val="005A5635"/>
    <w:rsid w:val="005A5BBC"/>
    <w:rsid w:val="005A5C08"/>
    <w:rsid w:val="005A606A"/>
    <w:rsid w:val="005A6478"/>
    <w:rsid w:val="005A680C"/>
    <w:rsid w:val="005A6912"/>
    <w:rsid w:val="005A6D79"/>
    <w:rsid w:val="005A732D"/>
    <w:rsid w:val="005A73BF"/>
    <w:rsid w:val="005A7826"/>
    <w:rsid w:val="005A7C0C"/>
    <w:rsid w:val="005A7EBF"/>
    <w:rsid w:val="005B0654"/>
    <w:rsid w:val="005B07D5"/>
    <w:rsid w:val="005B087C"/>
    <w:rsid w:val="005B1468"/>
    <w:rsid w:val="005B170A"/>
    <w:rsid w:val="005B17CF"/>
    <w:rsid w:val="005B17D8"/>
    <w:rsid w:val="005B2328"/>
    <w:rsid w:val="005B2374"/>
    <w:rsid w:val="005B265A"/>
    <w:rsid w:val="005B2EB9"/>
    <w:rsid w:val="005B33B7"/>
    <w:rsid w:val="005B39D0"/>
    <w:rsid w:val="005B3B12"/>
    <w:rsid w:val="005B3B53"/>
    <w:rsid w:val="005B3B99"/>
    <w:rsid w:val="005B3CE6"/>
    <w:rsid w:val="005B4099"/>
    <w:rsid w:val="005B4556"/>
    <w:rsid w:val="005B49D5"/>
    <w:rsid w:val="005B5642"/>
    <w:rsid w:val="005B5996"/>
    <w:rsid w:val="005B6122"/>
    <w:rsid w:val="005B6778"/>
    <w:rsid w:val="005B6AE6"/>
    <w:rsid w:val="005B71AA"/>
    <w:rsid w:val="005B73DC"/>
    <w:rsid w:val="005B75EC"/>
    <w:rsid w:val="005B769F"/>
    <w:rsid w:val="005B7781"/>
    <w:rsid w:val="005C0A21"/>
    <w:rsid w:val="005C14F7"/>
    <w:rsid w:val="005C1626"/>
    <w:rsid w:val="005C25AF"/>
    <w:rsid w:val="005C29CF"/>
    <w:rsid w:val="005C2A22"/>
    <w:rsid w:val="005C33AC"/>
    <w:rsid w:val="005C4CE7"/>
    <w:rsid w:val="005C5833"/>
    <w:rsid w:val="005C5BA7"/>
    <w:rsid w:val="005C5CCC"/>
    <w:rsid w:val="005C65F6"/>
    <w:rsid w:val="005C68C2"/>
    <w:rsid w:val="005C73CC"/>
    <w:rsid w:val="005C73E8"/>
    <w:rsid w:val="005C7415"/>
    <w:rsid w:val="005D0117"/>
    <w:rsid w:val="005D06D8"/>
    <w:rsid w:val="005D07A7"/>
    <w:rsid w:val="005D1DA6"/>
    <w:rsid w:val="005D1DC2"/>
    <w:rsid w:val="005D22CD"/>
    <w:rsid w:val="005D2331"/>
    <w:rsid w:val="005D2644"/>
    <w:rsid w:val="005D28A4"/>
    <w:rsid w:val="005D3D31"/>
    <w:rsid w:val="005D3D33"/>
    <w:rsid w:val="005D4FFB"/>
    <w:rsid w:val="005D50DD"/>
    <w:rsid w:val="005D59BD"/>
    <w:rsid w:val="005D5B50"/>
    <w:rsid w:val="005D7A29"/>
    <w:rsid w:val="005D7D9C"/>
    <w:rsid w:val="005E0224"/>
    <w:rsid w:val="005E0442"/>
    <w:rsid w:val="005E0750"/>
    <w:rsid w:val="005E088A"/>
    <w:rsid w:val="005E088D"/>
    <w:rsid w:val="005E08BD"/>
    <w:rsid w:val="005E0AA5"/>
    <w:rsid w:val="005E0DF4"/>
    <w:rsid w:val="005E1698"/>
    <w:rsid w:val="005E189B"/>
    <w:rsid w:val="005E200A"/>
    <w:rsid w:val="005E37E0"/>
    <w:rsid w:val="005E4727"/>
    <w:rsid w:val="005E4F52"/>
    <w:rsid w:val="005E54F8"/>
    <w:rsid w:val="005E6846"/>
    <w:rsid w:val="005E7125"/>
    <w:rsid w:val="005E716F"/>
    <w:rsid w:val="005E79C5"/>
    <w:rsid w:val="005E7E10"/>
    <w:rsid w:val="005F0046"/>
    <w:rsid w:val="005F04EA"/>
    <w:rsid w:val="005F0B0B"/>
    <w:rsid w:val="005F13C8"/>
    <w:rsid w:val="005F13F1"/>
    <w:rsid w:val="005F1403"/>
    <w:rsid w:val="005F15B0"/>
    <w:rsid w:val="005F1A7A"/>
    <w:rsid w:val="005F1B4C"/>
    <w:rsid w:val="005F1CEF"/>
    <w:rsid w:val="005F20A2"/>
    <w:rsid w:val="005F2F76"/>
    <w:rsid w:val="005F30D6"/>
    <w:rsid w:val="005F3178"/>
    <w:rsid w:val="005F3461"/>
    <w:rsid w:val="005F3563"/>
    <w:rsid w:val="005F41E3"/>
    <w:rsid w:val="005F48B7"/>
    <w:rsid w:val="005F4DBE"/>
    <w:rsid w:val="005F5355"/>
    <w:rsid w:val="005F5703"/>
    <w:rsid w:val="005F6235"/>
    <w:rsid w:val="005F7006"/>
    <w:rsid w:val="005F71B1"/>
    <w:rsid w:val="005F7208"/>
    <w:rsid w:val="005F7CAD"/>
    <w:rsid w:val="0060030C"/>
    <w:rsid w:val="0060087A"/>
    <w:rsid w:val="006008C6"/>
    <w:rsid w:val="00601508"/>
    <w:rsid w:val="00601A6B"/>
    <w:rsid w:val="00601B8B"/>
    <w:rsid w:val="0060295F"/>
    <w:rsid w:val="00602EA6"/>
    <w:rsid w:val="0060353B"/>
    <w:rsid w:val="00603956"/>
    <w:rsid w:val="00603FAC"/>
    <w:rsid w:val="00605A21"/>
    <w:rsid w:val="00605A82"/>
    <w:rsid w:val="00605E4A"/>
    <w:rsid w:val="00605E56"/>
    <w:rsid w:val="00605F32"/>
    <w:rsid w:val="00605FD9"/>
    <w:rsid w:val="00606416"/>
    <w:rsid w:val="00606493"/>
    <w:rsid w:val="00606DAB"/>
    <w:rsid w:val="00607561"/>
    <w:rsid w:val="0060779E"/>
    <w:rsid w:val="006078FA"/>
    <w:rsid w:val="00610093"/>
    <w:rsid w:val="00610156"/>
    <w:rsid w:val="00610300"/>
    <w:rsid w:val="00610676"/>
    <w:rsid w:val="00610772"/>
    <w:rsid w:val="00610783"/>
    <w:rsid w:val="0061082C"/>
    <w:rsid w:val="00610EDA"/>
    <w:rsid w:val="00610FC1"/>
    <w:rsid w:val="006122C0"/>
    <w:rsid w:val="00612959"/>
    <w:rsid w:val="00612963"/>
    <w:rsid w:val="0061297C"/>
    <w:rsid w:val="00612E98"/>
    <w:rsid w:val="0061327C"/>
    <w:rsid w:val="0061359B"/>
    <w:rsid w:val="00613B26"/>
    <w:rsid w:val="00613C41"/>
    <w:rsid w:val="00614591"/>
    <w:rsid w:val="00615078"/>
    <w:rsid w:val="006166A5"/>
    <w:rsid w:val="00616E98"/>
    <w:rsid w:val="0061712E"/>
    <w:rsid w:val="00617A56"/>
    <w:rsid w:val="00617BB7"/>
    <w:rsid w:val="006201D1"/>
    <w:rsid w:val="006214C6"/>
    <w:rsid w:val="0062154C"/>
    <w:rsid w:val="00621A56"/>
    <w:rsid w:val="00621EC3"/>
    <w:rsid w:val="006223D3"/>
    <w:rsid w:val="0062262B"/>
    <w:rsid w:val="00622771"/>
    <w:rsid w:val="00622AA0"/>
    <w:rsid w:val="0062365D"/>
    <w:rsid w:val="00623EB4"/>
    <w:rsid w:val="00623F78"/>
    <w:rsid w:val="0062405C"/>
    <w:rsid w:val="00624159"/>
    <w:rsid w:val="006246DF"/>
    <w:rsid w:val="00624993"/>
    <w:rsid w:val="00625B01"/>
    <w:rsid w:val="00625E84"/>
    <w:rsid w:val="00626E7F"/>
    <w:rsid w:val="0062726F"/>
    <w:rsid w:val="006272B7"/>
    <w:rsid w:val="00627B8F"/>
    <w:rsid w:val="00627BAC"/>
    <w:rsid w:val="00627F64"/>
    <w:rsid w:val="0063016A"/>
    <w:rsid w:val="00630BB4"/>
    <w:rsid w:val="00631591"/>
    <w:rsid w:val="006317E2"/>
    <w:rsid w:val="00631941"/>
    <w:rsid w:val="00631E10"/>
    <w:rsid w:val="006328CD"/>
    <w:rsid w:val="00632A30"/>
    <w:rsid w:val="00632DFC"/>
    <w:rsid w:val="006331ED"/>
    <w:rsid w:val="006336AC"/>
    <w:rsid w:val="00633860"/>
    <w:rsid w:val="006341D3"/>
    <w:rsid w:val="006348E2"/>
    <w:rsid w:val="006349DB"/>
    <w:rsid w:val="00634D3D"/>
    <w:rsid w:val="00635111"/>
    <w:rsid w:val="006353BE"/>
    <w:rsid w:val="006357D6"/>
    <w:rsid w:val="006365EA"/>
    <w:rsid w:val="00636D44"/>
    <w:rsid w:val="00637410"/>
    <w:rsid w:val="00637D4B"/>
    <w:rsid w:val="00637D8E"/>
    <w:rsid w:val="00640308"/>
    <w:rsid w:val="006406E2"/>
    <w:rsid w:val="006408F0"/>
    <w:rsid w:val="00640A31"/>
    <w:rsid w:val="00640CDA"/>
    <w:rsid w:val="006414D1"/>
    <w:rsid w:val="00641B6E"/>
    <w:rsid w:val="00641C49"/>
    <w:rsid w:val="00641E88"/>
    <w:rsid w:val="00641ED0"/>
    <w:rsid w:val="00641F5D"/>
    <w:rsid w:val="00642864"/>
    <w:rsid w:val="00642D64"/>
    <w:rsid w:val="006435E8"/>
    <w:rsid w:val="006438AC"/>
    <w:rsid w:val="0064411C"/>
    <w:rsid w:val="0064481D"/>
    <w:rsid w:val="00644D84"/>
    <w:rsid w:val="00644E6C"/>
    <w:rsid w:val="00644F98"/>
    <w:rsid w:val="00645817"/>
    <w:rsid w:val="00646050"/>
    <w:rsid w:val="00646056"/>
    <w:rsid w:val="00646126"/>
    <w:rsid w:val="00646275"/>
    <w:rsid w:val="00646331"/>
    <w:rsid w:val="006464B2"/>
    <w:rsid w:val="00646B22"/>
    <w:rsid w:val="00646BD5"/>
    <w:rsid w:val="00647B7C"/>
    <w:rsid w:val="00647C2B"/>
    <w:rsid w:val="00650CB9"/>
    <w:rsid w:val="0065128D"/>
    <w:rsid w:val="006517B0"/>
    <w:rsid w:val="00651E2E"/>
    <w:rsid w:val="00652143"/>
    <w:rsid w:val="00652F98"/>
    <w:rsid w:val="006536BA"/>
    <w:rsid w:val="00654123"/>
    <w:rsid w:val="006542B6"/>
    <w:rsid w:val="00654F0C"/>
    <w:rsid w:val="00655E56"/>
    <w:rsid w:val="00656539"/>
    <w:rsid w:val="00656E67"/>
    <w:rsid w:val="006571F4"/>
    <w:rsid w:val="0065789A"/>
    <w:rsid w:val="006578FE"/>
    <w:rsid w:val="0065790E"/>
    <w:rsid w:val="00657D2B"/>
    <w:rsid w:val="00660900"/>
    <w:rsid w:val="006609E6"/>
    <w:rsid w:val="0066100F"/>
    <w:rsid w:val="00661627"/>
    <w:rsid w:val="0066170D"/>
    <w:rsid w:val="006617E0"/>
    <w:rsid w:val="00662253"/>
    <w:rsid w:val="00662470"/>
    <w:rsid w:val="006633A6"/>
    <w:rsid w:val="0066376E"/>
    <w:rsid w:val="00663F0E"/>
    <w:rsid w:val="006656EA"/>
    <w:rsid w:val="006657A5"/>
    <w:rsid w:val="00665884"/>
    <w:rsid w:val="00665C0D"/>
    <w:rsid w:val="00665F0B"/>
    <w:rsid w:val="00666690"/>
    <w:rsid w:val="00667423"/>
    <w:rsid w:val="00667B30"/>
    <w:rsid w:val="006702A9"/>
    <w:rsid w:val="006706DE"/>
    <w:rsid w:val="006712DB"/>
    <w:rsid w:val="006714C2"/>
    <w:rsid w:val="00671840"/>
    <w:rsid w:val="00671C8F"/>
    <w:rsid w:val="00672C12"/>
    <w:rsid w:val="00672D86"/>
    <w:rsid w:val="006744DD"/>
    <w:rsid w:val="00674B7C"/>
    <w:rsid w:val="00675E6B"/>
    <w:rsid w:val="00675EA1"/>
    <w:rsid w:val="006762E7"/>
    <w:rsid w:val="0067687A"/>
    <w:rsid w:val="00676CD8"/>
    <w:rsid w:val="00677462"/>
    <w:rsid w:val="00677F13"/>
    <w:rsid w:val="00677F60"/>
    <w:rsid w:val="00680022"/>
    <w:rsid w:val="00680FAA"/>
    <w:rsid w:val="00681EC4"/>
    <w:rsid w:val="00681EC6"/>
    <w:rsid w:val="00681F7F"/>
    <w:rsid w:val="00682DA7"/>
    <w:rsid w:val="0068395E"/>
    <w:rsid w:val="00683FCF"/>
    <w:rsid w:val="006849D5"/>
    <w:rsid w:val="00684E9D"/>
    <w:rsid w:val="00684F23"/>
    <w:rsid w:val="006856DF"/>
    <w:rsid w:val="00685AF9"/>
    <w:rsid w:val="00685B07"/>
    <w:rsid w:val="00685C3C"/>
    <w:rsid w:val="00686BC0"/>
    <w:rsid w:val="00687058"/>
    <w:rsid w:val="006870A7"/>
    <w:rsid w:val="006876D5"/>
    <w:rsid w:val="0068785D"/>
    <w:rsid w:val="00690086"/>
    <w:rsid w:val="00690211"/>
    <w:rsid w:val="0069032A"/>
    <w:rsid w:val="0069066C"/>
    <w:rsid w:val="006906A8"/>
    <w:rsid w:val="006908B7"/>
    <w:rsid w:val="006908F9"/>
    <w:rsid w:val="006910C9"/>
    <w:rsid w:val="00691466"/>
    <w:rsid w:val="00691F74"/>
    <w:rsid w:val="00692D50"/>
    <w:rsid w:val="00693AE9"/>
    <w:rsid w:val="00694ABF"/>
    <w:rsid w:val="00694F71"/>
    <w:rsid w:val="00694FDD"/>
    <w:rsid w:val="006953C9"/>
    <w:rsid w:val="006954AC"/>
    <w:rsid w:val="0069568E"/>
    <w:rsid w:val="00696C11"/>
    <w:rsid w:val="00696F43"/>
    <w:rsid w:val="00697260"/>
    <w:rsid w:val="00697572"/>
    <w:rsid w:val="00697833"/>
    <w:rsid w:val="00697F08"/>
    <w:rsid w:val="00697F6E"/>
    <w:rsid w:val="006A02D4"/>
    <w:rsid w:val="006A0696"/>
    <w:rsid w:val="006A09E4"/>
    <w:rsid w:val="006A0BB5"/>
    <w:rsid w:val="006A0C5A"/>
    <w:rsid w:val="006A0E99"/>
    <w:rsid w:val="006A181A"/>
    <w:rsid w:val="006A2181"/>
    <w:rsid w:val="006A219F"/>
    <w:rsid w:val="006A251D"/>
    <w:rsid w:val="006A2AF4"/>
    <w:rsid w:val="006A3CE5"/>
    <w:rsid w:val="006A3F6D"/>
    <w:rsid w:val="006A4950"/>
    <w:rsid w:val="006A4A2C"/>
    <w:rsid w:val="006A4C56"/>
    <w:rsid w:val="006A4FA6"/>
    <w:rsid w:val="006A4FC7"/>
    <w:rsid w:val="006A5363"/>
    <w:rsid w:val="006A5570"/>
    <w:rsid w:val="006A5923"/>
    <w:rsid w:val="006A5BBD"/>
    <w:rsid w:val="006A5BE9"/>
    <w:rsid w:val="006A5EBB"/>
    <w:rsid w:val="006A67F8"/>
    <w:rsid w:val="006A6D2B"/>
    <w:rsid w:val="006A6EF1"/>
    <w:rsid w:val="006A704E"/>
    <w:rsid w:val="006B0029"/>
    <w:rsid w:val="006B008F"/>
    <w:rsid w:val="006B176B"/>
    <w:rsid w:val="006B2288"/>
    <w:rsid w:val="006B283C"/>
    <w:rsid w:val="006B2E0A"/>
    <w:rsid w:val="006B32D6"/>
    <w:rsid w:val="006B4E40"/>
    <w:rsid w:val="006B50EE"/>
    <w:rsid w:val="006B56E7"/>
    <w:rsid w:val="006B59D9"/>
    <w:rsid w:val="006B5AAE"/>
    <w:rsid w:val="006B5CC8"/>
    <w:rsid w:val="006B5EEF"/>
    <w:rsid w:val="006B62EA"/>
    <w:rsid w:val="006B655B"/>
    <w:rsid w:val="006B7270"/>
    <w:rsid w:val="006B74E2"/>
    <w:rsid w:val="006B775D"/>
    <w:rsid w:val="006B7DC6"/>
    <w:rsid w:val="006C001E"/>
    <w:rsid w:val="006C03AA"/>
    <w:rsid w:val="006C0490"/>
    <w:rsid w:val="006C0BC4"/>
    <w:rsid w:val="006C16EB"/>
    <w:rsid w:val="006C1726"/>
    <w:rsid w:val="006C19A8"/>
    <w:rsid w:val="006C1D16"/>
    <w:rsid w:val="006C30DC"/>
    <w:rsid w:val="006C385A"/>
    <w:rsid w:val="006C3F75"/>
    <w:rsid w:val="006C4FE2"/>
    <w:rsid w:val="006C5515"/>
    <w:rsid w:val="006C5A9F"/>
    <w:rsid w:val="006C5F4C"/>
    <w:rsid w:val="006C6713"/>
    <w:rsid w:val="006C672F"/>
    <w:rsid w:val="006C67A8"/>
    <w:rsid w:val="006C681C"/>
    <w:rsid w:val="006D02E4"/>
    <w:rsid w:val="006D0312"/>
    <w:rsid w:val="006D0402"/>
    <w:rsid w:val="006D0E89"/>
    <w:rsid w:val="006D203C"/>
    <w:rsid w:val="006D34D6"/>
    <w:rsid w:val="006D3702"/>
    <w:rsid w:val="006D379A"/>
    <w:rsid w:val="006D38D8"/>
    <w:rsid w:val="006D3C64"/>
    <w:rsid w:val="006D4750"/>
    <w:rsid w:val="006D5261"/>
    <w:rsid w:val="006D5B4B"/>
    <w:rsid w:val="006D6A03"/>
    <w:rsid w:val="006D6F6E"/>
    <w:rsid w:val="006D77C2"/>
    <w:rsid w:val="006D7AE8"/>
    <w:rsid w:val="006D7FD7"/>
    <w:rsid w:val="006E0314"/>
    <w:rsid w:val="006E032F"/>
    <w:rsid w:val="006E0CFE"/>
    <w:rsid w:val="006E1066"/>
    <w:rsid w:val="006E18DA"/>
    <w:rsid w:val="006E1C47"/>
    <w:rsid w:val="006E1F0B"/>
    <w:rsid w:val="006E34AE"/>
    <w:rsid w:val="006E3EAC"/>
    <w:rsid w:val="006E41C8"/>
    <w:rsid w:val="006E4B26"/>
    <w:rsid w:val="006E5E06"/>
    <w:rsid w:val="006E5F13"/>
    <w:rsid w:val="006E6122"/>
    <w:rsid w:val="006F0473"/>
    <w:rsid w:val="006F05A0"/>
    <w:rsid w:val="006F343C"/>
    <w:rsid w:val="006F35C1"/>
    <w:rsid w:val="006F432C"/>
    <w:rsid w:val="006F4769"/>
    <w:rsid w:val="006F49FF"/>
    <w:rsid w:val="006F51F2"/>
    <w:rsid w:val="006F54B4"/>
    <w:rsid w:val="006F6355"/>
    <w:rsid w:val="006F69CD"/>
    <w:rsid w:val="006F6AE4"/>
    <w:rsid w:val="006F7045"/>
    <w:rsid w:val="006F709C"/>
    <w:rsid w:val="006F7787"/>
    <w:rsid w:val="006F7F8B"/>
    <w:rsid w:val="00700B1A"/>
    <w:rsid w:val="0070142F"/>
    <w:rsid w:val="00701CB6"/>
    <w:rsid w:val="007020EB"/>
    <w:rsid w:val="00702E8F"/>
    <w:rsid w:val="00703477"/>
    <w:rsid w:val="00703AF4"/>
    <w:rsid w:val="00703C13"/>
    <w:rsid w:val="00703DE7"/>
    <w:rsid w:val="007041C0"/>
    <w:rsid w:val="00704F61"/>
    <w:rsid w:val="0070520A"/>
    <w:rsid w:val="007052FE"/>
    <w:rsid w:val="00706EC2"/>
    <w:rsid w:val="0070713D"/>
    <w:rsid w:val="007071A8"/>
    <w:rsid w:val="0070757D"/>
    <w:rsid w:val="00707C45"/>
    <w:rsid w:val="00707C7F"/>
    <w:rsid w:val="007101DF"/>
    <w:rsid w:val="00710292"/>
    <w:rsid w:val="00710D3C"/>
    <w:rsid w:val="00710D86"/>
    <w:rsid w:val="00710DA4"/>
    <w:rsid w:val="00710DFF"/>
    <w:rsid w:val="0071166C"/>
    <w:rsid w:val="0071181F"/>
    <w:rsid w:val="00711935"/>
    <w:rsid w:val="00711B5A"/>
    <w:rsid w:val="007121E1"/>
    <w:rsid w:val="007125CC"/>
    <w:rsid w:val="00712831"/>
    <w:rsid w:val="00712B80"/>
    <w:rsid w:val="00712B88"/>
    <w:rsid w:val="007133CE"/>
    <w:rsid w:val="00713DB7"/>
    <w:rsid w:val="007144C5"/>
    <w:rsid w:val="007148A7"/>
    <w:rsid w:val="0071496F"/>
    <w:rsid w:val="00714ADB"/>
    <w:rsid w:val="00715163"/>
    <w:rsid w:val="007152EE"/>
    <w:rsid w:val="00715A3C"/>
    <w:rsid w:val="007168F8"/>
    <w:rsid w:val="00716A24"/>
    <w:rsid w:val="007178E5"/>
    <w:rsid w:val="007206FB"/>
    <w:rsid w:val="00720DB3"/>
    <w:rsid w:val="00720FA6"/>
    <w:rsid w:val="0072109A"/>
    <w:rsid w:val="00721697"/>
    <w:rsid w:val="00721D1B"/>
    <w:rsid w:val="00721DE6"/>
    <w:rsid w:val="00722A7E"/>
    <w:rsid w:val="00723193"/>
    <w:rsid w:val="0072345C"/>
    <w:rsid w:val="00723B87"/>
    <w:rsid w:val="00724F3F"/>
    <w:rsid w:val="0072528A"/>
    <w:rsid w:val="007252FC"/>
    <w:rsid w:val="007260C7"/>
    <w:rsid w:val="00727074"/>
    <w:rsid w:val="007271CD"/>
    <w:rsid w:val="00727BE7"/>
    <w:rsid w:val="00730F79"/>
    <w:rsid w:val="007312DA"/>
    <w:rsid w:val="00732A2D"/>
    <w:rsid w:val="00732A5E"/>
    <w:rsid w:val="00732B33"/>
    <w:rsid w:val="00732C87"/>
    <w:rsid w:val="00732D96"/>
    <w:rsid w:val="00733EC3"/>
    <w:rsid w:val="007340FF"/>
    <w:rsid w:val="007343F5"/>
    <w:rsid w:val="00734ABA"/>
    <w:rsid w:val="007351EC"/>
    <w:rsid w:val="007355D4"/>
    <w:rsid w:val="00735814"/>
    <w:rsid w:val="007361BE"/>
    <w:rsid w:val="00736539"/>
    <w:rsid w:val="00740551"/>
    <w:rsid w:val="00740AAD"/>
    <w:rsid w:val="0074121A"/>
    <w:rsid w:val="0074122A"/>
    <w:rsid w:val="00741AD7"/>
    <w:rsid w:val="00741C01"/>
    <w:rsid w:val="0074238E"/>
    <w:rsid w:val="0074244A"/>
    <w:rsid w:val="007429FB"/>
    <w:rsid w:val="00742F26"/>
    <w:rsid w:val="00743167"/>
    <w:rsid w:val="007431B8"/>
    <w:rsid w:val="00743F7D"/>
    <w:rsid w:val="007447C1"/>
    <w:rsid w:val="00744F17"/>
    <w:rsid w:val="007453AE"/>
    <w:rsid w:val="00745807"/>
    <w:rsid w:val="0074646A"/>
    <w:rsid w:val="0074659C"/>
    <w:rsid w:val="0075056B"/>
    <w:rsid w:val="007507C2"/>
    <w:rsid w:val="00751B3F"/>
    <w:rsid w:val="00753226"/>
    <w:rsid w:val="0075330D"/>
    <w:rsid w:val="007536FB"/>
    <w:rsid w:val="007537FA"/>
    <w:rsid w:val="007539DA"/>
    <w:rsid w:val="0075428B"/>
    <w:rsid w:val="00754D2A"/>
    <w:rsid w:val="007551DC"/>
    <w:rsid w:val="0075525C"/>
    <w:rsid w:val="007555C7"/>
    <w:rsid w:val="00756249"/>
    <w:rsid w:val="007562BE"/>
    <w:rsid w:val="0075653A"/>
    <w:rsid w:val="007565A5"/>
    <w:rsid w:val="00756DA7"/>
    <w:rsid w:val="00757AC3"/>
    <w:rsid w:val="00757B2B"/>
    <w:rsid w:val="00760B6D"/>
    <w:rsid w:val="007611BE"/>
    <w:rsid w:val="00761517"/>
    <w:rsid w:val="00761801"/>
    <w:rsid w:val="007619E0"/>
    <w:rsid w:val="00762241"/>
    <w:rsid w:val="007629BA"/>
    <w:rsid w:val="00762ADD"/>
    <w:rsid w:val="0076346C"/>
    <w:rsid w:val="0076355B"/>
    <w:rsid w:val="00763A53"/>
    <w:rsid w:val="00763B97"/>
    <w:rsid w:val="00764073"/>
    <w:rsid w:val="00764287"/>
    <w:rsid w:val="0076462E"/>
    <w:rsid w:val="00764F5B"/>
    <w:rsid w:val="00765296"/>
    <w:rsid w:val="007654F7"/>
    <w:rsid w:val="00765589"/>
    <w:rsid w:val="0076613B"/>
    <w:rsid w:val="0076620B"/>
    <w:rsid w:val="00766C28"/>
    <w:rsid w:val="00766C4B"/>
    <w:rsid w:val="00766D01"/>
    <w:rsid w:val="00766DBF"/>
    <w:rsid w:val="00766F77"/>
    <w:rsid w:val="00766F7B"/>
    <w:rsid w:val="0076726F"/>
    <w:rsid w:val="00767B6B"/>
    <w:rsid w:val="00767C3C"/>
    <w:rsid w:val="00770FD6"/>
    <w:rsid w:val="007711AB"/>
    <w:rsid w:val="0077158C"/>
    <w:rsid w:val="00771A1B"/>
    <w:rsid w:val="00771E46"/>
    <w:rsid w:val="00771FF1"/>
    <w:rsid w:val="0077240D"/>
    <w:rsid w:val="00772541"/>
    <w:rsid w:val="00772663"/>
    <w:rsid w:val="00772895"/>
    <w:rsid w:val="0077290D"/>
    <w:rsid w:val="00772C74"/>
    <w:rsid w:val="00773C49"/>
    <w:rsid w:val="00773E91"/>
    <w:rsid w:val="00774054"/>
    <w:rsid w:val="0077441D"/>
    <w:rsid w:val="00774713"/>
    <w:rsid w:val="00775564"/>
    <w:rsid w:val="00775E42"/>
    <w:rsid w:val="00776FFE"/>
    <w:rsid w:val="00777772"/>
    <w:rsid w:val="007778D3"/>
    <w:rsid w:val="007779B9"/>
    <w:rsid w:val="00777C11"/>
    <w:rsid w:val="007801A0"/>
    <w:rsid w:val="007803B3"/>
    <w:rsid w:val="0078145C"/>
    <w:rsid w:val="007816B9"/>
    <w:rsid w:val="007819B2"/>
    <w:rsid w:val="00781F35"/>
    <w:rsid w:val="00781F95"/>
    <w:rsid w:val="00781FCD"/>
    <w:rsid w:val="00782131"/>
    <w:rsid w:val="007823DE"/>
    <w:rsid w:val="0078259B"/>
    <w:rsid w:val="00782F23"/>
    <w:rsid w:val="00782F9D"/>
    <w:rsid w:val="0078321A"/>
    <w:rsid w:val="00783262"/>
    <w:rsid w:val="0078363A"/>
    <w:rsid w:val="007836DF"/>
    <w:rsid w:val="00783A72"/>
    <w:rsid w:val="00783B1A"/>
    <w:rsid w:val="0078460C"/>
    <w:rsid w:val="007852FE"/>
    <w:rsid w:val="007857BA"/>
    <w:rsid w:val="00785958"/>
    <w:rsid w:val="00785BC6"/>
    <w:rsid w:val="00785F82"/>
    <w:rsid w:val="00786147"/>
    <w:rsid w:val="00786236"/>
    <w:rsid w:val="00786249"/>
    <w:rsid w:val="00786449"/>
    <w:rsid w:val="007868A7"/>
    <w:rsid w:val="007868C4"/>
    <w:rsid w:val="0078763A"/>
    <w:rsid w:val="00787A89"/>
    <w:rsid w:val="00787D87"/>
    <w:rsid w:val="0079032A"/>
    <w:rsid w:val="00790D6A"/>
    <w:rsid w:val="007915C8"/>
    <w:rsid w:val="0079267A"/>
    <w:rsid w:val="0079276A"/>
    <w:rsid w:val="00792B0B"/>
    <w:rsid w:val="00792DBE"/>
    <w:rsid w:val="007930B5"/>
    <w:rsid w:val="0079369E"/>
    <w:rsid w:val="00794111"/>
    <w:rsid w:val="00795AB3"/>
    <w:rsid w:val="007968A9"/>
    <w:rsid w:val="00796DC8"/>
    <w:rsid w:val="00797D4B"/>
    <w:rsid w:val="00797DA6"/>
    <w:rsid w:val="007A0770"/>
    <w:rsid w:val="007A082E"/>
    <w:rsid w:val="007A0E7E"/>
    <w:rsid w:val="007A0FC8"/>
    <w:rsid w:val="007A12B4"/>
    <w:rsid w:val="007A132F"/>
    <w:rsid w:val="007A1396"/>
    <w:rsid w:val="007A1EB5"/>
    <w:rsid w:val="007A2AEC"/>
    <w:rsid w:val="007A33D7"/>
    <w:rsid w:val="007A435D"/>
    <w:rsid w:val="007A4DFA"/>
    <w:rsid w:val="007A5656"/>
    <w:rsid w:val="007A599C"/>
    <w:rsid w:val="007A6BAD"/>
    <w:rsid w:val="007A732E"/>
    <w:rsid w:val="007A7922"/>
    <w:rsid w:val="007A79F1"/>
    <w:rsid w:val="007A7A57"/>
    <w:rsid w:val="007A7FEF"/>
    <w:rsid w:val="007B085D"/>
    <w:rsid w:val="007B088C"/>
    <w:rsid w:val="007B09C4"/>
    <w:rsid w:val="007B0A3E"/>
    <w:rsid w:val="007B0BC8"/>
    <w:rsid w:val="007B10C1"/>
    <w:rsid w:val="007B11B6"/>
    <w:rsid w:val="007B13CF"/>
    <w:rsid w:val="007B164B"/>
    <w:rsid w:val="007B1BE7"/>
    <w:rsid w:val="007B1CEC"/>
    <w:rsid w:val="007B2325"/>
    <w:rsid w:val="007B2647"/>
    <w:rsid w:val="007B3067"/>
    <w:rsid w:val="007B324F"/>
    <w:rsid w:val="007B3295"/>
    <w:rsid w:val="007B342E"/>
    <w:rsid w:val="007B34BE"/>
    <w:rsid w:val="007B3DC5"/>
    <w:rsid w:val="007B46D6"/>
    <w:rsid w:val="007B4E3E"/>
    <w:rsid w:val="007B5040"/>
    <w:rsid w:val="007B511D"/>
    <w:rsid w:val="007B5472"/>
    <w:rsid w:val="007B627F"/>
    <w:rsid w:val="007B67AC"/>
    <w:rsid w:val="007B6CDA"/>
    <w:rsid w:val="007B70FB"/>
    <w:rsid w:val="007B731A"/>
    <w:rsid w:val="007B76B8"/>
    <w:rsid w:val="007B7AF9"/>
    <w:rsid w:val="007C0893"/>
    <w:rsid w:val="007C094E"/>
    <w:rsid w:val="007C0BB2"/>
    <w:rsid w:val="007C0D0D"/>
    <w:rsid w:val="007C141F"/>
    <w:rsid w:val="007C1697"/>
    <w:rsid w:val="007C1FA3"/>
    <w:rsid w:val="007C22E8"/>
    <w:rsid w:val="007C230C"/>
    <w:rsid w:val="007C2595"/>
    <w:rsid w:val="007C26E7"/>
    <w:rsid w:val="007C2732"/>
    <w:rsid w:val="007C2FF3"/>
    <w:rsid w:val="007C33AC"/>
    <w:rsid w:val="007C343C"/>
    <w:rsid w:val="007C3860"/>
    <w:rsid w:val="007C3E38"/>
    <w:rsid w:val="007C4200"/>
    <w:rsid w:val="007C48E0"/>
    <w:rsid w:val="007C4A1B"/>
    <w:rsid w:val="007C51FA"/>
    <w:rsid w:val="007C5259"/>
    <w:rsid w:val="007C6043"/>
    <w:rsid w:val="007C624B"/>
    <w:rsid w:val="007C6ADB"/>
    <w:rsid w:val="007C6AF4"/>
    <w:rsid w:val="007C6C97"/>
    <w:rsid w:val="007C70E8"/>
    <w:rsid w:val="007C7364"/>
    <w:rsid w:val="007C75F3"/>
    <w:rsid w:val="007C7921"/>
    <w:rsid w:val="007C7EBE"/>
    <w:rsid w:val="007D13F9"/>
    <w:rsid w:val="007D19E2"/>
    <w:rsid w:val="007D3B31"/>
    <w:rsid w:val="007D3D85"/>
    <w:rsid w:val="007D46CD"/>
    <w:rsid w:val="007D4B27"/>
    <w:rsid w:val="007D50B2"/>
    <w:rsid w:val="007D5B07"/>
    <w:rsid w:val="007D6E44"/>
    <w:rsid w:val="007D6EDB"/>
    <w:rsid w:val="007D6FAA"/>
    <w:rsid w:val="007D7545"/>
    <w:rsid w:val="007D7E8E"/>
    <w:rsid w:val="007E07FE"/>
    <w:rsid w:val="007E0F24"/>
    <w:rsid w:val="007E1185"/>
    <w:rsid w:val="007E140F"/>
    <w:rsid w:val="007E1B4A"/>
    <w:rsid w:val="007E2594"/>
    <w:rsid w:val="007E26A1"/>
    <w:rsid w:val="007E2E60"/>
    <w:rsid w:val="007E3775"/>
    <w:rsid w:val="007E421A"/>
    <w:rsid w:val="007E4770"/>
    <w:rsid w:val="007E4EFB"/>
    <w:rsid w:val="007E5436"/>
    <w:rsid w:val="007E568A"/>
    <w:rsid w:val="007E5A40"/>
    <w:rsid w:val="007E614A"/>
    <w:rsid w:val="007E65D3"/>
    <w:rsid w:val="007E745F"/>
    <w:rsid w:val="007E750B"/>
    <w:rsid w:val="007E799C"/>
    <w:rsid w:val="007E79FE"/>
    <w:rsid w:val="007F0AFF"/>
    <w:rsid w:val="007F0EA8"/>
    <w:rsid w:val="007F1563"/>
    <w:rsid w:val="007F167E"/>
    <w:rsid w:val="007F2126"/>
    <w:rsid w:val="007F25EE"/>
    <w:rsid w:val="007F355F"/>
    <w:rsid w:val="007F3BF8"/>
    <w:rsid w:val="007F50C7"/>
    <w:rsid w:val="007F5389"/>
    <w:rsid w:val="007F564F"/>
    <w:rsid w:val="007F5712"/>
    <w:rsid w:val="007F6072"/>
    <w:rsid w:val="007F67B0"/>
    <w:rsid w:val="007F6994"/>
    <w:rsid w:val="007F6B33"/>
    <w:rsid w:val="007F6CE0"/>
    <w:rsid w:val="007F714D"/>
    <w:rsid w:val="007F7203"/>
    <w:rsid w:val="008000FB"/>
    <w:rsid w:val="008004BD"/>
    <w:rsid w:val="00800A5F"/>
    <w:rsid w:val="00801148"/>
    <w:rsid w:val="008015DD"/>
    <w:rsid w:val="0080195C"/>
    <w:rsid w:val="00801F41"/>
    <w:rsid w:val="008023AD"/>
    <w:rsid w:val="00802836"/>
    <w:rsid w:val="00802AB6"/>
    <w:rsid w:val="0080413F"/>
    <w:rsid w:val="00804A9B"/>
    <w:rsid w:val="00804FEB"/>
    <w:rsid w:val="0080615F"/>
    <w:rsid w:val="0080752F"/>
    <w:rsid w:val="008079DE"/>
    <w:rsid w:val="00807B4A"/>
    <w:rsid w:val="00810486"/>
    <w:rsid w:val="00810A1C"/>
    <w:rsid w:val="00810CB8"/>
    <w:rsid w:val="00811E43"/>
    <w:rsid w:val="00811FA1"/>
    <w:rsid w:val="008123CC"/>
    <w:rsid w:val="00813677"/>
    <w:rsid w:val="008140BC"/>
    <w:rsid w:val="008140D4"/>
    <w:rsid w:val="0081422E"/>
    <w:rsid w:val="008145EF"/>
    <w:rsid w:val="00814E40"/>
    <w:rsid w:val="00815F2B"/>
    <w:rsid w:val="00816C6B"/>
    <w:rsid w:val="00816FFE"/>
    <w:rsid w:val="00817F8F"/>
    <w:rsid w:val="008207B3"/>
    <w:rsid w:val="00820D65"/>
    <w:rsid w:val="00821C9A"/>
    <w:rsid w:val="00821DFA"/>
    <w:rsid w:val="008228E8"/>
    <w:rsid w:val="00822FD3"/>
    <w:rsid w:val="0082353B"/>
    <w:rsid w:val="008236AD"/>
    <w:rsid w:val="00823DB8"/>
    <w:rsid w:val="00824978"/>
    <w:rsid w:val="00824A09"/>
    <w:rsid w:val="00826180"/>
    <w:rsid w:val="008263B0"/>
    <w:rsid w:val="008269D8"/>
    <w:rsid w:val="00826A88"/>
    <w:rsid w:val="00826AD2"/>
    <w:rsid w:val="00827046"/>
    <w:rsid w:val="008300E7"/>
    <w:rsid w:val="00830E4A"/>
    <w:rsid w:val="0083118D"/>
    <w:rsid w:val="00832900"/>
    <w:rsid w:val="00832B03"/>
    <w:rsid w:val="00832FA3"/>
    <w:rsid w:val="00833127"/>
    <w:rsid w:val="00833B16"/>
    <w:rsid w:val="00833D11"/>
    <w:rsid w:val="00833F4D"/>
    <w:rsid w:val="00834252"/>
    <w:rsid w:val="00834494"/>
    <w:rsid w:val="008345B0"/>
    <w:rsid w:val="00834701"/>
    <w:rsid w:val="00835244"/>
    <w:rsid w:val="008358D1"/>
    <w:rsid w:val="00835AAA"/>
    <w:rsid w:val="00835CBC"/>
    <w:rsid w:val="0083639D"/>
    <w:rsid w:val="00836632"/>
    <w:rsid w:val="00836636"/>
    <w:rsid w:val="00836963"/>
    <w:rsid w:val="008372FC"/>
    <w:rsid w:val="008373F8"/>
    <w:rsid w:val="008376FE"/>
    <w:rsid w:val="00840179"/>
    <w:rsid w:val="0084017E"/>
    <w:rsid w:val="008402D3"/>
    <w:rsid w:val="008402FA"/>
    <w:rsid w:val="00841C19"/>
    <w:rsid w:val="00841E65"/>
    <w:rsid w:val="0084300B"/>
    <w:rsid w:val="0084301F"/>
    <w:rsid w:val="00843B06"/>
    <w:rsid w:val="00843F2B"/>
    <w:rsid w:val="0084428C"/>
    <w:rsid w:val="00844E15"/>
    <w:rsid w:val="0084542B"/>
    <w:rsid w:val="00846782"/>
    <w:rsid w:val="008478EB"/>
    <w:rsid w:val="00847B85"/>
    <w:rsid w:val="00847D58"/>
    <w:rsid w:val="00847D60"/>
    <w:rsid w:val="008503A0"/>
    <w:rsid w:val="008514E4"/>
    <w:rsid w:val="00851B8E"/>
    <w:rsid w:val="00851BB8"/>
    <w:rsid w:val="008521A0"/>
    <w:rsid w:val="00852B3B"/>
    <w:rsid w:val="00853268"/>
    <w:rsid w:val="0085460E"/>
    <w:rsid w:val="00854F14"/>
    <w:rsid w:val="00855105"/>
    <w:rsid w:val="00855145"/>
    <w:rsid w:val="00855A5A"/>
    <w:rsid w:val="00856412"/>
    <w:rsid w:val="0085734C"/>
    <w:rsid w:val="0085748C"/>
    <w:rsid w:val="00857AED"/>
    <w:rsid w:val="00857C17"/>
    <w:rsid w:val="00857D67"/>
    <w:rsid w:val="00857F65"/>
    <w:rsid w:val="0086056B"/>
    <w:rsid w:val="0086071B"/>
    <w:rsid w:val="00860C76"/>
    <w:rsid w:val="00860FA2"/>
    <w:rsid w:val="00861C0B"/>
    <w:rsid w:val="0086209D"/>
    <w:rsid w:val="00862335"/>
    <w:rsid w:val="00862516"/>
    <w:rsid w:val="00863269"/>
    <w:rsid w:val="00864014"/>
    <w:rsid w:val="00864628"/>
    <w:rsid w:val="008657A5"/>
    <w:rsid w:val="00865884"/>
    <w:rsid w:val="00866D9D"/>
    <w:rsid w:val="008670C2"/>
    <w:rsid w:val="008678A5"/>
    <w:rsid w:val="008702D8"/>
    <w:rsid w:val="0087032A"/>
    <w:rsid w:val="00870AB4"/>
    <w:rsid w:val="00871071"/>
    <w:rsid w:val="008710F7"/>
    <w:rsid w:val="00871155"/>
    <w:rsid w:val="008713FA"/>
    <w:rsid w:val="008714E4"/>
    <w:rsid w:val="00871EE7"/>
    <w:rsid w:val="00872405"/>
    <w:rsid w:val="00872CE8"/>
    <w:rsid w:val="00873768"/>
    <w:rsid w:val="008738E4"/>
    <w:rsid w:val="00873C8C"/>
    <w:rsid w:val="008743B1"/>
    <w:rsid w:val="00874777"/>
    <w:rsid w:val="008763FC"/>
    <w:rsid w:val="0087656C"/>
    <w:rsid w:val="008766B4"/>
    <w:rsid w:val="00877801"/>
    <w:rsid w:val="00877C80"/>
    <w:rsid w:val="0088023C"/>
    <w:rsid w:val="00880390"/>
    <w:rsid w:val="008808EA"/>
    <w:rsid w:val="00880957"/>
    <w:rsid w:val="00881535"/>
    <w:rsid w:val="008816FB"/>
    <w:rsid w:val="00881E87"/>
    <w:rsid w:val="00882C2E"/>
    <w:rsid w:val="00882C3F"/>
    <w:rsid w:val="0088384B"/>
    <w:rsid w:val="0088389D"/>
    <w:rsid w:val="00883D4A"/>
    <w:rsid w:val="008842F6"/>
    <w:rsid w:val="008845CB"/>
    <w:rsid w:val="008848C4"/>
    <w:rsid w:val="008852BA"/>
    <w:rsid w:val="0088564E"/>
    <w:rsid w:val="00885D55"/>
    <w:rsid w:val="008860D9"/>
    <w:rsid w:val="00886471"/>
    <w:rsid w:val="008864CB"/>
    <w:rsid w:val="00886AFB"/>
    <w:rsid w:val="00886B54"/>
    <w:rsid w:val="00886CE4"/>
    <w:rsid w:val="0088708C"/>
    <w:rsid w:val="008872CB"/>
    <w:rsid w:val="00890DD4"/>
    <w:rsid w:val="00890ED6"/>
    <w:rsid w:val="00891106"/>
    <w:rsid w:val="0089178A"/>
    <w:rsid w:val="008918DE"/>
    <w:rsid w:val="0089224F"/>
    <w:rsid w:val="00892C9B"/>
    <w:rsid w:val="00893080"/>
    <w:rsid w:val="0089336B"/>
    <w:rsid w:val="008934D3"/>
    <w:rsid w:val="0089370F"/>
    <w:rsid w:val="008937AE"/>
    <w:rsid w:val="00893FA6"/>
    <w:rsid w:val="0089496A"/>
    <w:rsid w:val="008949A2"/>
    <w:rsid w:val="008953A2"/>
    <w:rsid w:val="0089546E"/>
    <w:rsid w:val="008959DA"/>
    <w:rsid w:val="00895B3F"/>
    <w:rsid w:val="00895C0C"/>
    <w:rsid w:val="008965A1"/>
    <w:rsid w:val="0089722E"/>
    <w:rsid w:val="00897CE5"/>
    <w:rsid w:val="00897EFA"/>
    <w:rsid w:val="008A03D5"/>
    <w:rsid w:val="008A0EFA"/>
    <w:rsid w:val="008A1654"/>
    <w:rsid w:val="008A16A0"/>
    <w:rsid w:val="008A1B4A"/>
    <w:rsid w:val="008A1DCF"/>
    <w:rsid w:val="008A24E3"/>
    <w:rsid w:val="008A2A0F"/>
    <w:rsid w:val="008A2A45"/>
    <w:rsid w:val="008A2AB0"/>
    <w:rsid w:val="008A2C83"/>
    <w:rsid w:val="008A333B"/>
    <w:rsid w:val="008A349E"/>
    <w:rsid w:val="008A52E2"/>
    <w:rsid w:val="008A55E0"/>
    <w:rsid w:val="008A662F"/>
    <w:rsid w:val="008A7DCC"/>
    <w:rsid w:val="008A7E68"/>
    <w:rsid w:val="008A7F71"/>
    <w:rsid w:val="008B0928"/>
    <w:rsid w:val="008B0BDB"/>
    <w:rsid w:val="008B1C6A"/>
    <w:rsid w:val="008B1CEF"/>
    <w:rsid w:val="008B1FBF"/>
    <w:rsid w:val="008B2571"/>
    <w:rsid w:val="008B2E47"/>
    <w:rsid w:val="008B2F5F"/>
    <w:rsid w:val="008B382E"/>
    <w:rsid w:val="008B3AC1"/>
    <w:rsid w:val="008B4254"/>
    <w:rsid w:val="008B447C"/>
    <w:rsid w:val="008B470E"/>
    <w:rsid w:val="008B4981"/>
    <w:rsid w:val="008B4A77"/>
    <w:rsid w:val="008B4C27"/>
    <w:rsid w:val="008B4DED"/>
    <w:rsid w:val="008B54EC"/>
    <w:rsid w:val="008B55B3"/>
    <w:rsid w:val="008B57C2"/>
    <w:rsid w:val="008B58B0"/>
    <w:rsid w:val="008B59EF"/>
    <w:rsid w:val="008B5C40"/>
    <w:rsid w:val="008B6117"/>
    <w:rsid w:val="008B680A"/>
    <w:rsid w:val="008B6973"/>
    <w:rsid w:val="008B6CFD"/>
    <w:rsid w:val="008B6F37"/>
    <w:rsid w:val="008B70F4"/>
    <w:rsid w:val="008B7127"/>
    <w:rsid w:val="008B71A4"/>
    <w:rsid w:val="008B728D"/>
    <w:rsid w:val="008B7916"/>
    <w:rsid w:val="008B7EF4"/>
    <w:rsid w:val="008C0CEF"/>
    <w:rsid w:val="008C15B5"/>
    <w:rsid w:val="008C15CE"/>
    <w:rsid w:val="008C1750"/>
    <w:rsid w:val="008C17A0"/>
    <w:rsid w:val="008C1885"/>
    <w:rsid w:val="008C1AB0"/>
    <w:rsid w:val="008C1D3E"/>
    <w:rsid w:val="008C225C"/>
    <w:rsid w:val="008C2811"/>
    <w:rsid w:val="008C3091"/>
    <w:rsid w:val="008C30F7"/>
    <w:rsid w:val="008C519B"/>
    <w:rsid w:val="008C54F8"/>
    <w:rsid w:val="008C59E9"/>
    <w:rsid w:val="008C5AC1"/>
    <w:rsid w:val="008C5E59"/>
    <w:rsid w:val="008C631F"/>
    <w:rsid w:val="008C63C4"/>
    <w:rsid w:val="008C6910"/>
    <w:rsid w:val="008C6957"/>
    <w:rsid w:val="008C6BC3"/>
    <w:rsid w:val="008C6BDA"/>
    <w:rsid w:val="008C6D90"/>
    <w:rsid w:val="008C6F7B"/>
    <w:rsid w:val="008C70CF"/>
    <w:rsid w:val="008C7B5F"/>
    <w:rsid w:val="008D036B"/>
    <w:rsid w:val="008D0463"/>
    <w:rsid w:val="008D084E"/>
    <w:rsid w:val="008D0C92"/>
    <w:rsid w:val="008D0CAE"/>
    <w:rsid w:val="008D0D73"/>
    <w:rsid w:val="008D0E0F"/>
    <w:rsid w:val="008D2097"/>
    <w:rsid w:val="008D2293"/>
    <w:rsid w:val="008D24AE"/>
    <w:rsid w:val="008D27EF"/>
    <w:rsid w:val="008D2A13"/>
    <w:rsid w:val="008D2DF2"/>
    <w:rsid w:val="008D2DFA"/>
    <w:rsid w:val="008D3281"/>
    <w:rsid w:val="008D4240"/>
    <w:rsid w:val="008D4608"/>
    <w:rsid w:val="008D464B"/>
    <w:rsid w:val="008D4658"/>
    <w:rsid w:val="008D492F"/>
    <w:rsid w:val="008D4CA3"/>
    <w:rsid w:val="008D4F64"/>
    <w:rsid w:val="008D54C0"/>
    <w:rsid w:val="008D56C0"/>
    <w:rsid w:val="008D5DBE"/>
    <w:rsid w:val="008D6244"/>
    <w:rsid w:val="008D6B6A"/>
    <w:rsid w:val="008D6E28"/>
    <w:rsid w:val="008D7350"/>
    <w:rsid w:val="008D73EA"/>
    <w:rsid w:val="008D7B15"/>
    <w:rsid w:val="008E129E"/>
    <w:rsid w:val="008E1921"/>
    <w:rsid w:val="008E2763"/>
    <w:rsid w:val="008E38C2"/>
    <w:rsid w:val="008E3C6D"/>
    <w:rsid w:val="008E3F8E"/>
    <w:rsid w:val="008E40AD"/>
    <w:rsid w:val="008E445F"/>
    <w:rsid w:val="008E47ED"/>
    <w:rsid w:val="008E4C26"/>
    <w:rsid w:val="008E4E91"/>
    <w:rsid w:val="008E4F0E"/>
    <w:rsid w:val="008E59ED"/>
    <w:rsid w:val="008E6AF5"/>
    <w:rsid w:val="008E6D01"/>
    <w:rsid w:val="008E6E6D"/>
    <w:rsid w:val="008E74E3"/>
    <w:rsid w:val="008E75CF"/>
    <w:rsid w:val="008E771D"/>
    <w:rsid w:val="008E7C5E"/>
    <w:rsid w:val="008E7C94"/>
    <w:rsid w:val="008E7D94"/>
    <w:rsid w:val="008E7DD3"/>
    <w:rsid w:val="008F03EC"/>
    <w:rsid w:val="008F058D"/>
    <w:rsid w:val="008F0905"/>
    <w:rsid w:val="008F15A8"/>
    <w:rsid w:val="008F1CE1"/>
    <w:rsid w:val="008F1FE8"/>
    <w:rsid w:val="008F24D8"/>
    <w:rsid w:val="008F2552"/>
    <w:rsid w:val="008F2B93"/>
    <w:rsid w:val="008F2E39"/>
    <w:rsid w:val="008F3B83"/>
    <w:rsid w:val="008F3EED"/>
    <w:rsid w:val="008F48B4"/>
    <w:rsid w:val="008F524C"/>
    <w:rsid w:val="008F5C43"/>
    <w:rsid w:val="008F5ECB"/>
    <w:rsid w:val="008F6532"/>
    <w:rsid w:val="008F65A7"/>
    <w:rsid w:val="008F67C6"/>
    <w:rsid w:val="008F6DC4"/>
    <w:rsid w:val="008F6DE6"/>
    <w:rsid w:val="008F6F4A"/>
    <w:rsid w:val="008F7C2F"/>
    <w:rsid w:val="008F7CA6"/>
    <w:rsid w:val="008F7FCE"/>
    <w:rsid w:val="0090069E"/>
    <w:rsid w:val="00901A5C"/>
    <w:rsid w:val="009022F5"/>
    <w:rsid w:val="00903331"/>
    <w:rsid w:val="00903BE4"/>
    <w:rsid w:val="00903E22"/>
    <w:rsid w:val="00903F73"/>
    <w:rsid w:val="009045A6"/>
    <w:rsid w:val="00904A64"/>
    <w:rsid w:val="00904AD8"/>
    <w:rsid w:val="009051BF"/>
    <w:rsid w:val="0090551F"/>
    <w:rsid w:val="00905994"/>
    <w:rsid w:val="009061D9"/>
    <w:rsid w:val="009063A4"/>
    <w:rsid w:val="00906A1C"/>
    <w:rsid w:val="0090769C"/>
    <w:rsid w:val="00907967"/>
    <w:rsid w:val="009100A9"/>
    <w:rsid w:val="00910162"/>
    <w:rsid w:val="0091090E"/>
    <w:rsid w:val="00910CBE"/>
    <w:rsid w:val="00910E3F"/>
    <w:rsid w:val="00912C61"/>
    <w:rsid w:val="009130A1"/>
    <w:rsid w:val="00913144"/>
    <w:rsid w:val="00913531"/>
    <w:rsid w:val="00913ACA"/>
    <w:rsid w:val="009142EF"/>
    <w:rsid w:val="00914A53"/>
    <w:rsid w:val="009152EC"/>
    <w:rsid w:val="009155AC"/>
    <w:rsid w:val="00915698"/>
    <w:rsid w:val="0091633D"/>
    <w:rsid w:val="009165DB"/>
    <w:rsid w:val="00916630"/>
    <w:rsid w:val="00917172"/>
    <w:rsid w:val="00917522"/>
    <w:rsid w:val="00917561"/>
    <w:rsid w:val="00920606"/>
    <w:rsid w:val="0092073E"/>
    <w:rsid w:val="00920758"/>
    <w:rsid w:val="00920E14"/>
    <w:rsid w:val="009217A5"/>
    <w:rsid w:val="00921E52"/>
    <w:rsid w:val="00922EFB"/>
    <w:rsid w:val="009234DC"/>
    <w:rsid w:val="0092438A"/>
    <w:rsid w:val="00924C05"/>
    <w:rsid w:val="00924D7B"/>
    <w:rsid w:val="00925092"/>
    <w:rsid w:val="00925858"/>
    <w:rsid w:val="00925929"/>
    <w:rsid w:val="00925B2B"/>
    <w:rsid w:val="00925CA0"/>
    <w:rsid w:val="009261B7"/>
    <w:rsid w:val="009263DB"/>
    <w:rsid w:val="0092684C"/>
    <w:rsid w:val="00930084"/>
    <w:rsid w:val="009306C4"/>
    <w:rsid w:val="00930A05"/>
    <w:rsid w:val="00930B2E"/>
    <w:rsid w:val="00931640"/>
    <w:rsid w:val="00931D20"/>
    <w:rsid w:val="0093255C"/>
    <w:rsid w:val="00932BEF"/>
    <w:rsid w:val="00932C77"/>
    <w:rsid w:val="009334DA"/>
    <w:rsid w:val="00933594"/>
    <w:rsid w:val="00933F36"/>
    <w:rsid w:val="0093426B"/>
    <w:rsid w:val="009349E7"/>
    <w:rsid w:val="00934B76"/>
    <w:rsid w:val="009350D2"/>
    <w:rsid w:val="00935D89"/>
    <w:rsid w:val="0093614C"/>
    <w:rsid w:val="009365BA"/>
    <w:rsid w:val="00936EEF"/>
    <w:rsid w:val="00936FC7"/>
    <w:rsid w:val="009379AF"/>
    <w:rsid w:val="00937C1B"/>
    <w:rsid w:val="00937CC4"/>
    <w:rsid w:val="009420FC"/>
    <w:rsid w:val="00942CCC"/>
    <w:rsid w:val="009435E9"/>
    <w:rsid w:val="00943B8D"/>
    <w:rsid w:val="00943BF8"/>
    <w:rsid w:val="0094464B"/>
    <w:rsid w:val="009450EE"/>
    <w:rsid w:val="00945CFD"/>
    <w:rsid w:val="009469F8"/>
    <w:rsid w:val="00946E58"/>
    <w:rsid w:val="00947564"/>
    <w:rsid w:val="00947B3B"/>
    <w:rsid w:val="0095055F"/>
    <w:rsid w:val="0095064D"/>
    <w:rsid w:val="0095096D"/>
    <w:rsid w:val="00951BAE"/>
    <w:rsid w:val="0095200C"/>
    <w:rsid w:val="00953097"/>
    <w:rsid w:val="009530DB"/>
    <w:rsid w:val="009538BB"/>
    <w:rsid w:val="009539C4"/>
    <w:rsid w:val="0095411A"/>
    <w:rsid w:val="009542CF"/>
    <w:rsid w:val="0095477F"/>
    <w:rsid w:val="0095496A"/>
    <w:rsid w:val="009559D0"/>
    <w:rsid w:val="00955BC2"/>
    <w:rsid w:val="009563D5"/>
    <w:rsid w:val="00956445"/>
    <w:rsid w:val="009565DC"/>
    <w:rsid w:val="0095696E"/>
    <w:rsid w:val="00957129"/>
    <w:rsid w:val="009600AE"/>
    <w:rsid w:val="009609A5"/>
    <w:rsid w:val="009617D0"/>
    <w:rsid w:val="00961BB9"/>
    <w:rsid w:val="009622C6"/>
    <w:rsid w:val="009625E6"/>
    <w:rsid w:val="00962E4C"/>
    <w:rsid w:val="009638C7"/>
    <w:rsid w:val="0096405A"/>
    <w:rsid w:val="00964132"/>
    <w:rsid w:val="0096456B"/>
    <w:rsid w:val="00964729"/>
    <w:rsid w:val="009647BD"/>
    <w:rsid w:val="00964ACA"/>
    <w:rsid w:val="00965A8B"/>
    <w:rsid w:val="00965D32"/>
    <w:rsid w:val="00965EFD"/>
    <w:rsid w:val="00966235"/>
    <w:rsid w:val="0096642B"/>
    <w:rsid w:val="009665AC"/>
    <w:rsid w:val="00967A52"/>
    <w:rsid w:val="0097023F"/>
    <w:rsid w:val="009703DC"/>
    <w:rsid w:val="00970DCC"/>
    <w:rsid w:val="00970F33"/>
    <w:rsid w:val="00971484"/>
    <w:rsid w:val="00971606"/>
    <w:rsid w:val="00971EC1"/>
    <w:rsid w:val="00971F61"/>
    <w:rsid w:val="00972284"/>
    <w:rsid w:val="00973189"/>
    <w:rsid w:val="00973344"/>
    <w:rsid w:val="00973F87"/>
    <w:rsid w:val="00974130"/>
    <w:rsid w:val="00974D00"/>
    <w:rsid w:val="00974D1C"/>
    <w:rsid w:val="00975040"/>
    <w:rsid w:val="0097548D"/>
    <w:rsid w:val="0097550C"/>
    <w:rsid w:val="00975652"/>
    <w:rsid w:val="0097589B"/>
    <w:rsid w:val="00975BB4"/>
    <w:rsid w:val="00975C6D"/>
    <w:rsid w:val="00975DEB"/>
    <w:rsid w:val="00976055"/>
    <w:rsid w:val="009761D1"/>
    <w:rsid w:val="00976211"/>
    <w:rsid w:val="00976400"/>
    <w:rsid w:val="00976768"/>
    <w:rsid w:val="009768BF"/>
    <w:rsid w:val="00976B2B"/>
    <w:rsid w:val="00976C14"/>
    <w:rsid w:val="00977555"/>
    <w:rsid w:val="00980301"/>
    <w:rsid w:val="0098035C"/>
    <w:rsid w:val="00980B9C"/>
    <w:rsid w:val="00980D1D"/>
    <w:rsid w:val="00980D8C"/>
    <w:rsid w:val="009821DB"/>
    <w:rsid w:val="009826F3"/>
    <w:rsid w:val="00982CF2"/>
    <w:rsid w:val="00983590"/>
    <w:rsid w:val="00983704"/>
    <w:rsid w:val="009841A4"/>
    <w:rsid w:val="009845B9"/>
    <w:rsid w:val="00984813"/>
    <w:rsid w:val="00984B58"/>
    <w:rsid w:val="00985832"/>
    <w:rsid w:val="009859C5"/>
    <w:rsid w:val="00985CEB"/>
    <w:rsid w:val="009865E7"/>
    <w:rsid w:val="00986BFB"/>
    <w:rsid w:val="00986C35"/>
    <w:rsid w:val="0098789B"/>
    <w:rsid w:val="00990CB0"/>
    <w:rsid w:val="00990FC9"/>
    <w:rsid w:val="00990FCA"/>
    <w:rsid w:val="009910C0"/>
    <w:rsid w:val="00991A2C"/>
    <w:rsid w:val="00991AA8"/>
    <w:rsid w:val="00991FBB"/>
    <w:rsid w:val="009932D2"/>
    <w:rsid w:val="00993695"/>
    <w:rsid w:val="009936F1"/>
    <w:rsid w:val="009948AE"/>
    <w:rsid w:val="00994AEF"/>
    <w:rsid w:val="00994B0B"/>
    <w:rsid w:val="00994D32"/>
    <w:rsid w:val="009952AC"/>
    <w:rsid w:val="0099585B"/>
    <w:rsid w:val="00995B52"/>
    <w:rsid w:val="0099670A"/>
    <w:rsid w:val="00996A1F"/>
    <w:rsid w:val="00996BE5"/>
    <w:rsid w:val="009972CF"/>
    <w:rsid w:val="0099778F"/>
    <w:rsid w:val="0099782C"/>
    <w:rsid w:val="009978D2"/>
    <w:rsid w:val="00997F44"/>
    <w:rsid w:val="009A05CF"/>
    <w:rsid w:val="009A05F2"/>
    <w:rsid w:val="009A0733"/>
    <w:rsid w:val="009A0B93"/>
    <w:rsid w:val="009A0D5D"/>
    <w:rsid w:val="009A14D8"/>
    <w:rsid w:val="009A1D15"/>
    <w:rsid w:val="009A2010"/>
    <w:rsid w:val="009A22F4"/>
    <w:rsid w:val="009A235E"/>
    <w:rsid w:val="009A290A"/>
    <w:rsid w:val="009A2917"/>
    <w:rsid w:val="009A3426"/>
    <w:rsid w:val="009A395A"/>
    <w:rsid w:val="009A442A"/>
    <w:rsid w:val="009A45DF"/>
    <w:rsid w:val="009A4D2F"/>
    <w:rsid w:val="009A5672"/>
    <w:rsid w:val="009A593C"/>
    <w:rsid w:val="009A5FA8"/>
    <w:rsid w:val="009A6F36"/>
    <w:rsid w:val="009A7E0E"/>
    <w:rsid w:val="009B0AAB"/>
    <w:rsid w:val="009B0C8D"/>
    <w:rsid w:val="009B0F0C"/>
    <w:rsid w:val="009B1128"/>
    <w:rsid w:val="009B2364"/>
    <w:rsid w:val="009B2770"/>
    <w:rsid w:val="009B278F"/>
    <w:rsid w:val="009B283E"/>
    <w:rsid w:val="009B2C8C"/>
    <w:rsid w:val="009B2F85"/>
    <w:rsid w:val="009B315E"/>
    <w:rsid w:val="009B355F"/>
    <w:rsid w:val="009B3612"/>
    <w:rsid w:val="009B3974"/>
    <w:rsid w:val="009B3AAA"/>
    <w:rsid w:val="009B3DAC"/>
    <w:rsid w:val="009B3F17"/>
    <w:rsid w:val="009B3FBA"/>
    <w:rsid w:val="009B5364"/>
    <w:rsid w:val="009B53C4"/>
    <w:rsid w:val="009B54C1"/>
    <w:rsid w:val="009B590A"/>
    <w:rsid w:val="009B69C0"/>
    <w:rsid w:val="009B6C93"/>
    <w:rsid w:val="009B7D01"/>
    <w:rsid w:val="009C038C"/>
    <w:rsid w:val="009C0853"/>
    <w:rsid w:val="009C1F50"/>
    <w:rsid w:val="009C3FF9"/>
    <w:rsid w:val="009C41CF"/>
    <w:rsid w:val="009C43C9"/>
    <w:rsid w:val="009C4BBE"/>
    <w:rsid w:val="009C5692"/>
    <w:rsid w:val="009C5E02"/>
    <w:rsid w:val="009C688B"/>
    <w:rsid w:val="009C7231"/>
    <w:rsid w:val="009C76E9"/>
    <w:rsid w:val="009C7D80"/>
    <w:rsid w:val="009C7EAD"/>
    <w:rsid w:val="009D0292"/>
    <w:rsid w:val="009D04E7"/>
    <w:rsid w:val="009D0D87"/>
    <w:rsid w:val="009D1935"/>
    <w:rsid w:val="009D1C35"/>
    <w:rsid w:val="009D201B"/>
    <w:rsid w:val="009D29CD"/>
    <w:rsid w:val="009D2D08"/>
    <w:rsid w:val="009D3401"/>
    <w:rsid w:val="009D3422"/>
    <w:rsid w:val="009D383E"/>
    <w:rsid w:val="009D3A7D"/>
    <w:rsid w:val="009D3D27"/>
    <w:rsid w:val="009D3E3F"/>
    <w:rsid w:val="009D48A0"/>
    <w:rsid w:val="009D4AC1"/>
    <w:rsid w:val="009D4CF8"/>
    <w:rsid w:val="009D520E"/>
    <w:rsid w:val="009D53A0"/>
    <w:rsid w:val="009D5C48"/>
    <w:rsid w:val="009D63A4"/>
    <w:rsid w:val="009D7156"/>
    <w:rsid w:val="009D7C44"/>
    <w:rsid w:val="009D7E06"/>
    <w:rsid w:val="009E00D4"/>
    <w:rsid w:val="009E0148"/>
    <w:rsid w:val="009E0397"/>
    <w:rsid w:val="009E0756"/>
    <w:rsid w:val="009E1584"/>
    <w:rsid w:val="009E1F1A"/>
    <w:rsid w:val="009E273E"/>
    <w:rsid w:val="009E27B3"/>
    <w:rsid w:val="009E2C2D"/>
    <w:rsid w:val="009E45E0"/>
    <w:rsid w:val="009E5204"/>
    <w:rsid w:val="009E5C3C"/>
    <w:rsid w:val="009E6955"/>
    <w:rsid w:val="009E6D12"/>
    <w:rsid w:val="009E78D2"/>
    <w:rsid w:val="009F0027"/>
    <w:rsid w:val="009F02B2"/>
    <w:rsid w:val="009F08F9"/>
    <w:rsid w:val="009F0AD3"/>
    <w:rsid w:val="009F1BC0"/>
    <w:rsid w:val="009F2016"/>
    <w:rsid w:val="009F27A0"/>
    <w:rsid w:val="009F291F"/>
    <w:rsid w:val="009F2F2E"/>
    <w:rsid w:val="009F32D5"/>
    <w:rsid w:val="009F36DC"/>
    <w:rsid w:val="009F38B7"/>
    <w:rsid w:val="009F4340"/>
    <w:rsid w:val="009F4417"/>
    <w:rsid w:val="009F4FD5"/>
    <w:rsid w:val="009F63A5"/>
    <w:rsid w:val="009F65B2"/>
    <w:rsid w:val="009F6AB1"/>
    <w:rsid w:val="009F7147"/>
    <w:rsid w:val="009F7593"/>
    <w:rsid w:val="009F7616"/>
    <w:rsid w:val="009F777E"/>
    <w:rsid w:val="009F7DBE"/>
    <w:rsid w:val="009F7E28"/>
    <w:rsid w:val="00A0026C"/>
    <w:rsid w:val="00A0039A"/>
    <w:rsid w:val="00A00408"/>
    <w:rsid w:val="00A00B19"/>
    <w:rsid w:val="00A00DB3"/>
    <w:rsid w:val="00A00F79"/>
    <w:rsid w:val="00A0122A"/>
    <w:rsid w:val="00A019E2"/>
    <w:rsid w:val="00A01ED5"/>
    <w:rsid w:val="00A03003"/>
    <w:rsid w:val="00A03090"/>
    <w:rsid w:val="00A0414F"/>
    <w:rsid w:val="00A041B0"/>
    <w:rsid w:val="00A048E9"/>
    <w:rsid w:val="00A056E3"/>
    <w:rsid w:val="00A071D9"/>
    <w:rsid w:val="00A07265"/>
    <w:rsid w:val="00A074BF"/>
    <w:rsid w:val="00A10A94"/>
    <w:rsid w:val="00A10B4D"/>
    <w:rsid w:val="00A10E04"/>
    <w:rsid w:val="00A10E59"/>
    <w:rsid w:val="00A115D4"/>
    <w:rsid w:val="00A11910"/>
    <w:rsid w:val="00A11D6A"/>
    <w:rsid w:val="00A129BE"/>
    <w:rsid w:val="00A12F59"/>
    <w:rsid w:val="00A13626"/>
    <w:rsid w:val="00A147A1"/>
    <w:rsid w:val="00A15AAB"/>
    <w:rsid w:val="00A15CC6"/>
    <w:rsid w:val="00A15E4A"/>
    <w:rsid w:val="00A16104"/>
    <w:rsid w:val="00A16D83"/>
    <w:rsid w:val="00A172B2"/>
    <w:rsid w:val="00A172E4"/>
    <w:rsid w:val="00A1742E"/>
    <w:rsid w:val="00A17A24"/>
    <w:rsid w:val="00A2040B"/>
    <w:rsid w:val="00A20618"/>
    <w:rsid w:val="00A2068B"/>
    <w:rsid w:val="00A208DA"/>
    <w:rsid w:val="00A20B4A"/>
    <w:rsid w:val="00A2105A"/>
    <w:rsid w:val="00A21588"/>
    <w:rsid w:val="00A21B90"/>
    <w:rsid w:val="00A21C21"/>
    <w:rsid w:val="00A22533"/>
    <w:rsid w:val="00A23314"/>
    <w:rsid w:val="00A23424"/>
    <w:rsid w:val="00A2363F"/>
    <w:rsid w:val="00A23F9F"/>
    <w:rsid w:val="00A242A1"/>
    <w:rsid w:val="00A252C6"/>
    <w:rsid w:val="00A26222"/>
    <w:rsid w:val="00A279F1"/>
    <w:rsid w:val="00A27AD8"/>
    <w:rsid w:val="00A301D1"/>
    <w:rsid w:val="00A316FF"/>
    <w:rsid w:val="00A32816"/>
    <w:rsid w:val="00A33075"/>
    <w:rsid w:val="00A33A93"/>
    <w:rsid w:val="00A33AF0"/>
    <w:rsid w:val="00A33CA1"/>
    <w:rsid w:val="00A34C25"/>
    <w:rsid w:val="00A3578D"/>
    <w:rsid w:val="00A366C3"/>
    <w:rsid w:val="00A370E8"/>
    <w:rsid w:val="00A372DC"/>
    <w:rsid w:val="00A37654"/>
    <w:rsid w:val="00A410E0"/>
    <w:rsid w:val="00A41285"/>
    <w:rsid w:val="00A4192C"/>
    <w:rsid w:val="00A41E6C"/>
    <w:rsid w:val="00A42127"/>
    <w:rsid w:val="00A421BD"/>
    <w:rsid w:val="00A42894"/>
    <w:rsid w:val="00A42D73"/>
    <w:rsid w:val="00A43783"/>
    <w:rsid w:val="00A44589"/>
    <w:rsid w:val="00A445C5"/>
    <w:rsid w:val="00A44DC4"/>
    <w:rsid w:val="00A44E4F"/>
    <w:rsid w:val="00A44FD2"/>
    <w:rsid w:val="00A4525E"/>
    <w:rsid w:val="00A457A0"/>
    <w:rsid w:val="00A45A9E"/>
    <w:rsid w:val="00A45B59"/>
    <w:rsid w:val="00A460C0"/>
    <w:rsid w:val="00A4637D"/>
    <w:rsid w:val="00A4646C"/>
    <w:rsid w:val="00A46F2F"/>
    <w:rsid w:val="00A46F64"/>
    <w:rsid w:val="00A476C9"/>
    <w:rsid w:val="00A478BE"/>
    <w:rsid w:val="00A47961"/>
    <w:rsid w:val="00A47EF1"/>
    <w:rsid w:val="00A50B9B"/>
    <w:rsid w:val="00A50DB7"/>
    <w:rsid w:val="00A50FE3"/>
    <w:rsid w:val="00A513D8"/>
    <w:rsid w:val="00A5155B"/>
    <w:rsid w:val="00A51881"/>
    <w:rsid w:val="00A52ACB"/>
    <w:rsid w:val="00A52E46"/>
    <w:rsid w:val="00A52E61"/>
    <w:rsid w:val="00A52F84"/>
    <w:rsid w:val="00A53423"/>
    <w:rsid w:val="00A54004"/>
    <w:rsid w:val="00A54505"/>
    <w:rsid w:val="00A54639"/>
    <w:rsid w:val="00A54A05"/>
    <w:rsid w:val="00A54EEF"/>
    <w:rsid w:val="00A55042"/>
    <w:rsid w:val="00A557D4"/>
    <w:rsid w:val="00A5587C"/>
    <w:rsid w:val="00A55AB5"/>
    <w:rsid w:val="00A55FBF"/>
    <w:rsid w:val="00A56325"/>
    <w:rsid w:val="00A56972"/>
    <w:rsid w:val="00A56EC3"/>
    <w:rsid w:val="00A574B0"/>
    <w:rsid w:val="00A5770E"/>
    <w:rsid w:val="00A57719"/>
    <w:rsid w:val="00A5796B"/>
    <w:rsid w:val="00A579D2"/>
    <w:rsid w:val="00A600D3"/>
    <w:rsid w:val="00A601CE"/>
    <w:rsid w:val="00A6095A"/>
    <w:rsid w:val="00A60A3A"/>
    <w:rsid w:val="00A61D1D"/>
    <w:rsid w:val="00A62035"/>
    <w:rsid w:val="00A62982"/>
    <w:rsid w:val="00A62ABB"/>
    <w:rsid w:val="00A62CDC"/>
    <w:rsid w:val="00A63788"/>
    <w:rsid w:val="00A63D7F"/>
    <w:rsid w:val="00A64CBD"/>
    <w:rsid w:val="00A652B3"/>
    <w:rsid w:val="00A65618"/>
    <w:rsid w:val="00A656E6"/>
    <w:rsid w:val="00A65817"/>
    <w:rsid w:val="00A66057"/>
    <w:rsid w:val="00A66601"/>
    <w:rsid w:val="00A66BAC"/>
    <w:rsid w:val="00A66BDA"/>
    <w:rsid w:val="00A66F5C"/>
    <w:rsid w:val="00A677CF"/>
    <w:rsid w:val="00A67C21"/>
    <w:rsid w:val="00A7059A"/>
    <w:rsid w:val="00A70AA6"/>
    <w:rsid w:val="00A712ED"/>
    <w:rsid w:val="00A7172A"/>
    <w:rsid w:val="00A71FCC"/>
    <w:rsid w:val="00A722FC"/>
    <w:rsid w:val="00A72DFB"/>
    <w:rsid w:val="00A73138"/>
    <w:rsid w:val="00A73593"/>
    <w:rsid w:val="00A73E59"/>
    <w:rsid w:val="00A76297"/>
    <w:rsid w:val="00A767AB"/>
    <w:rsid w:val="00A76AC5"/>
    <w:rsid w:val="00A771B4"/>
    <w:rsid w:val="00A77453"/>
    <w:rsid w:val="00A775F9"/>
    <w:rsid w:val="00A77D59"/>
    <w:rsid w:val="00A77E1E"/>
    <w:rsid w:val="00A77EC2"/>
    <w:rsid w:val="00A8003B"/>
    <w:rsid w:val="00A80243"/>
    <w:rsid w:val="00A80381"/>
    <w:rsid w:val="00A806E1"/>
    <w:rsid w:val="00A80E83"/>
    <w:rsid w:val="00A8152C"/>
    <w:rsid w:val="00A81A8B"/>
    <w:rsid w:val="00A81D95"/>
    <w:rsid w:val="00A81E33"/>
    <w:rsid w:val="00A81EC8"/>
    <w:rsid w:val="00A81F83"/>
    <w:rsid w:val="00A82388"/>
    <w:rsid w:val="00A82652"/>
    <w:rsid w:val="00A8294A"/>
    <w:rsid w:val="00A829AD"/>
    <w:rsid w:val="00A82ADC"/>
    <w:rsid w:val="00A82BC3"/>
    <w:rsid w:val="00A83071"/>
    <w:rsid w:val="00A832DE"/>
    <w:rsid w:val="00A833A2"/>
    <w:rsid w:val="00A83695"/>
    <w:rsid w:val="00A836BD"/>
    <w:rsid w:val="00A83AE0"/>
    <w:rsid w:val="00A83B20"/>
    <w:rsid w:val="00A83B45"/>
    <w:rsid w:val="00A84A27"/>
    <w:rsid w:val="00A85554"/>
    <w:rsid w:val="00A86523"/>
    <w:rsid w:val="00A869CB"/>
    <w:rsid w:val="00A86C81"/>
    <w:rsid w:val="00A87A0C"/>
    <w:rsid w:val="00A87CEB"/>
    <w:rsid w:val="00A87E65"/>
    <w:rsid w:val="00A90E98"/>
    <w:rsid w:val="00A920F1"/>
    <w:rsid w:val="00A92A50"/>
    <w:rsid w:val="00A93138"/>
    <w:rsid w:val="00A94593"/>
    <w:rsid w:val="00A95DC7"/>
    <w:rsid w:val="00A96A24"/>
    <w:rsid w:val="00A96E05"/>
    <w:rsid w:val="00A96F47"/>
    <w:rsid w:val="00A96F9E"/>
    <w:rsid w:val="00A971F1"/>
    <w:rsid w:val="00A97A5D"/>
    <w:rsid w:val="00A97D82"/>
    <w:rsid w:val="00A97FF8"/>
    <w:rsid w:val="00AA0495"/>
    <w:rsid w:val="00AA14AA"/>
    <w:rsid w:val="00AA281A"/>
    <w:rsid w:val="00AA2B89"/>
    <w:rsid w:val="00AA2CD8"/>
    <w:rsid w:val="00AA2EEF"/>
    <w:rsid w:val="00AA4AC0"/>
    <w:rsid w:val="00AA4B4C"/>
    <w:rsid w:val="00AA5886"/>
    <w:rsid w:val="00AA5A06"/>
    <w:rsid w:val="00AA5D1A"/>
    <w:rsid w:val="00AA5E14"/>
    <w:rsid w:val="00AA640C"/>
    <w:rsid w:val="00AA65F5"/>
    <w:rsid w:val="00AA6A00"/>
    <w:rsid w:val="00AA6B14"/>
    <w:rsid w:val="00AA717D"/>
    <w:rsid w:val="00AB0C30"/>
    <w:rsid w:val="00AB0C4F"/>
    <w:rsid w:val="00AB100B"/>
    <w:rsid w:val="00AB16C5"/>
    <w:rsid w:val="00AB29DD"/>
    <w:rsid w:val="00AB30E5"/>
    <w:rsid w:val="00AB351A"/>
    <w:rsid w:val="00AB3DB4"/>
    <w:rsid w:val="00AB3E81"/>
    <w:rsid w:val="00AB3E85"/>
    <w:rsid w:val="00AB40AB"/>
    <w:rsid w:val="00AB42D2"/>
    <w:rsid w:val="00AB4346"/>
    <w:rsid w:val="00AB488B"/>
    <w:rsid w:val="00AB4953"/>
    <w:rsid w:val="00AB50E1"/>
    <w:rsid w:val="00AB512D"/>
    <w:rsid w:val="00AB53D8"/>
    <w:rsid w:val="00AB59BA"/>
    <w:rsid w:val="00AB5B15"/>
    <w:rsid w:val="00AB614D"/>
    <w:rsid w:val="00AB62B2"/>
    <w:rsid w:val="00AB6C9B"/>
    <w:rsid w:val="00AB6DBE"/>
    <w:rsid w:val="00AB708C"/>
    <w:rsid w:val="00AB70AE"/>
    <w:rsid w:val="00AC03D7"/>
    <w:rsid w:val="00AC0585"/>
    <w:rsid w:val="00AC08F6"/>
    <w:rsid w:val="00AC1226"/>
    <w:rsid w:val="00AC1539"/>
    <w:rsid w:val="00AC1764"/>
    <w:rsid w:val="00AC1972"/>
    <w:rsid w:val="00AC1AF2"/>
    <w:rsid w:val="00AC2045"/>
    <w:rsid w:val="00AC22D1"/>
    <w:rsid w:val="00AC259E"/>
    <w:rsid w:val="00AC322A"/>
    <w:rsid w:val="00AC372C"/>
    <w:rsid w:val="00AC3BE3"/>
    <w:rsid w:val="00AC453B"/>
    <w:rsid w:val="00AC47E4"/>
    <w:rsid w:val="00AC4F0F"/>
    <w:rsid w:val="00AC5530"/>
    <w:rsid w:val="00AC604D"/>
    <w:rsid w:val="00AC6136"/>
    <w:rsid w:val="00AC6169"/>
    <w:rsid w:val="00AC6F66"/>
    <w:rsid w:val="00AC6FAA"/>
    <w:rsid w:val="00AC729D"/>
    <w:rsid w:val="00AC75DA"/>
    <w:rsid w:val="00AC7D51"/>
    <w:rsid w:val="00AC7E87"/>
    <w:rsid w:val="00AC7F0E"/>
    <w:rsid w:val="00AD0808"/>
    <w:rsid w:val="00AD0DE9"/>
    <w:rsid w:val="00AD16C3"/>
    <w:rsid w:val="00AD18A4"/>
    <w:rsid w:val="00AD1D78"/>
    <w:rsid w:val="00AD2083"/>
    <w:rsid w:val="00AD22B9"/>
    <w:rsid w:val="00AD2B92"/>
    <w:rsid w:val="00AD2EDD"/>
    <w:rsid w:val="00AD37AE"/>
    <w:rsid w:val="00AD3BE5"/>
    <w:rsid w:val="00AD4C30"/>
    <w:rsid w:val="00AD4CFC"/>
    <w:rsid w:val="00AD504A"/>
    <w:rsid w:val="00AD5128"/>
    <w:rsid w:val="00AD5827"/>
    <w:rsid w:val="00AD5942"/>
    <w:rsid w:val="00AD5D6D"/>
    <w:rsid w:val="00AD5FAF"/>
    <w:rsid w:val="00AD6D9F"/>
    <w:rsid w:val="00AD75AF"/>
    <w:rsid w:val="00AD7D9A"/>
    <w:rsid w:val="00AE023E"/>
    <w:rsid w:val="00AE07DA"/>
    <w:rsid w:val="00AE0C0D"/>
    <w:rsid w:val="00AE0D1D"/>
    <w:rsid w:val="00AE13A4"/>
    <w:rsid w:val="00AE20B4"/>
    <w:rsid w:val="00AE27C5"/>
    <w:rsid w:val="00AE2D69"/>
    <w:rsid w:val="00AE3292"/>
    <w:rsid w:val="00AE3AE3"/>
    <w:rsid w:val="00AE3FFF"/>
    <w:rsid w:val="00AE4195"/>
    <w:rsid w:val="00AE51D6"/>
    <w:rsid w:val="00AE5C2A"/>
    <w:rsid w:val="00AE5D95"/>
    <w:rsid w:val="00AE680F"/>
    <w:rsid w:val="00AE6F5F"/>
    <w:rsid w:val="00AE7710"/>
    <w:rsid w:val="00AF118D"/>
    <w:rsid w:val="00AF1622"/>
    <w:rsid w:val="00AF20D6"/>
    <w:rsid w:val="00AF2B06"/>
    <w:rsid w:val="00AF3185"/>
    <w:rsid w:val="00AF3C1F"/>
    <w:rsid w:val="00AF3D34"/>
    <w:rsid w:val="00AF4141"/>
    <w:rsid w:val="00AF5A91"/>
    <w:rsid w:val="00AF6488"/>
    <w:rsid w:val="00AF68E9"/>
    <w:rsid w:val="00B00038"/>
    <w:rsid w:val="00B001EE"/>
    <w:rsid w:val="00B00308"/>
    <w:rsid w:val="00B00551"/>
    <w:rsid w:val="00B00AC6"/>
    <w:rsid w:val="00B011F3"/>
    <w:rsid w:val="00B016A7"/>
    <w:rsid w:val="00B01B3D"/>
    <w:rsid w:val="00B01FEC"/>
    <w:rsid w:val="00B02CB6"/>
    <w:rsid w:val="00B030FA"/>
    <w:rsid w:val="00B03A1A"/>
    <w:rsid w:val="00B03E30"/>
    <w:rsid w:val="00B04FB8"/>
    <w:rsid w:val="00B057FB"/>
    <w:rsid w:val="00B058EB"/>
    <w:rsid w:val="00B059A4"/>
    <w:rsid w:val="00B059E4"/>
    <w:rsid w:val="00B05EC3"/>
    <w:rsid w:val="00B05FA9"/>
    <w:rsid w:val="00B06010"/>
    <w:rsid w:val="00B0615B"/>
    <w:rsid w:val="00B064FD"/>
    <w:rsid w:val="00B06A48"/>
    <w:rsid w:val="00B07374"/>
    <w:rsid w:val="00B1025A"/>
    <w:rsid w:val="00B1040E"/>
    <w:rsid w:val="00B10492"/>
    <w:rsid w:val="00B109CD"/>
    <w:rsid w:val="00B10EB4"/>
    <w:rsid w:val="00B10F06"/>
    <w:rsid w:val="00B11366"/>
    <w:rsid w:val="00B115CB"/>
    <w:rsid w:val="00B11608"/>
    <w:rsid w:val="00B11958"/>
    <w:rsid w:val="00B1244F"/>
    <w:rsid w:val="00B1258F"/>
    <w:rsid w:val="00B125E5"/>
    <w:rsid w:val="00B12657"/>
    <w:rsid w:val="00B12856"/>
    <w:rsid w:val="00B12A20"/>
    <w:rsid w:val="00B12BF6"/>
    <w:rsid w:val="00B12D91"/>
    <w:rsid w:val="00B12F75"/>
    <w:rsid w:val="00B13A12"/>
    <w:rsid w:val="00B13ABE"/>
    <w:rsid w:val="00B13D4C"/>
    <w:rsid w:val="00B13D6B"/>
    <w:rsid w:val="00B1509C"/>
    <w:rsid w:val="00B15147"/>
    <w:rsid w:val="00B1563B"/>
    <w:rsid w:val="00B15711"/>
    <w:rsid w:val="00B1653E"/>
    <w:rsid w:val="00B17250"/>
    <w:rsid w:val="00B178C8"/>
    <w:rsid w:val="00B17CDD"/>
    <w:rsid w:val="00B17FF3"/>
    <w:rsid w:val="00B2047E"/>
    <w:rsid w:val="00B20B60"/>
    <w:rsid w:val="00B218A4"/>
    <w:rsid w:val="00B21A94"/>
    <w:rsid w:val="00B21BE5"/>
    <w:rsid w:val="00B21FF0"/>
    <w:rsid w:val="00B2267C"/>
    <w:rsid w:val="00B22827"/>
    <w:rsid w:val="00B22DDC"/>
    <w:rsid w:val="00B230CC"/>
    <w:rsid w:val="00B24C7D"/>
    <w:rsid w:val="00B24D06"/>
    <w:rsid w:val="00B25797"/>
    <w:rsid w:val="00B25894"/>
    <w:rsid w:val="00B26191"/>
    <w:rsid w:val="00B26293"/>
    <w:rsid w:val="00B26780"/>
    <w:rsid w:val="00B26EA6"/>
    <w:rsid w:val="00B27BD7"/>
    <w:rsid w:val="00B27FE8"/>
    <w:rsid w:val="00B30956"/>
    <w:rsid w:val="00B3133F"/>
    <w:rsid w:val="00B3189C"/>
    <w:rsid w:val="00B31F0F"/>
    <w:rsid w:val="00B31F7C"/>
    <w:rsid w:val="00B32257"/>
    <w:rsid w:val="00B32925"/>
    <w:rsid w:val="00B33956"/>
    <w:rsid w:val="00B33BBF"/>
    <w:rsid w:val="00B3547E"/>
    <w:rsid w:val="00B35B60"/>
    <w:rsid w:val="00B36566"/>
    <w:rsid w:val="00B3658F"/>
    <w:rsid w:val="00B365FC"/>
    <w:rsid w:val="00B37036"/>
    <w:rsid w:val="00B37D76"/>
    <w:rsid w:val="00B40E64"/>
    <w:rsid w:val="00B40EF2"/>
    <w:rsid w:val="00B41042"/>
    <w:rsid w:val="00B416E6"/>
    <w:rsid w:val="00B417C9"/>
    <w:rsid w:val="00B418E1"/>
    <w:rsid w:val="00B41913"/>
    <w:rsid w:val="00B41E37"/>
    <w:rsid w:val="00B422CE"/>
    <w:rsid w:val="00B4313B"/>
    <w:rsid w:val="00B44345"/>
    <w:rsid w:val="00B4450A"/>
    <w:rsid w:val="00B4469B"/>
    <w:rsid w:val="00B45146"/>
    <w:rsid w:val="00B454E6"/>
    <w:rsid w:val="00B456F4"/>
    <w:rsid w:val="00B45A09"/>
    <w:rsid w:val="00B45A66"/>
    <w:rsid w:val="00B45C8C"/>
    <w:rsid w:val="00B45D88"/>
    <w:rsid w:val="00B47FDD"/>
    <w:rsid w:val="00B5064E"/>
    <w:rsid w:val="00B507AA"/>
    <w:rsid w:val="00B50A24"/>
    <w:rsid w:val="00B50E23"/>
    <w:rsid w:val="00B50FC0"/>
    <w:rsid w:val="00B5109A"/>
    <w:rsid w:val="00B5119F"/>
    <w:rsid w:val="00B51E9D"/>
    <w:rsid w:val="00B526AB"/>
    <w:rsid w:val="00B530FB"/>
    <w:rsid w:val="00B53279"/>
    <w:rsid w:val="00B536E5"/>
    <w:rsid w:val="00B53880"/>
    <w:rsid w:val="00B53EA8"/>
    <w:rsid w:val="00B540A8"/>
    <w:rsid w:val="00B540DD"/>
    <w:rsid w:val="00B54E61"/>
    <w:rsid w:val="00B553AE"/>
    <w:rsid w:val="00B55C0E"/>
    <w:rsid w:val="00B55D3F"/>
    <w:rsid w:val="00B561E1"/>
    <w:rsid w:val="00B56790"/>
    <w:rsid w:val="00B56B97"/>
    <w:rsid w:val="00B572FE"/>
    <w:rsid w:val="00B57339"/>
    <w:rsid w:val="00B573C7"/>
    <w:rsid w:val="00B574C0"/>
    <w:rsid w:val="00B57514"/>
    <w:rsid w:val="00B575E6"/>
    <w:rsid w:val="00B57842"/>
    <w:rsid w:val="00B6126B"/>
    <w:rsid w:val="00B615AE"/>
    <w:rsid w:val="00B622A0"/>
    <w:rsid w:val="00B625C8"/>
    <w:rsid w:val="00B6293E"/>
    <w:rsid w:val="00B62B7B"/>
    <w:rsid w:val="00B6331B"/>
    <w:rsid w:val="00B6339F"/>
    <w:rsid w:val="00B64FBC"/>
    <w:rsid w:val="00B650E4"/>
    <w:rsid w:val="00B65136"/>
    <w:rsid w:val="00B65181"/>
    <w:rsid w:val="00B653C3"/>
    <w:rsid w:val="00B659EB"/>
    <w:rsid w:val="00B6632A"/>
    <w:rsid w:val="00B665DE"/>
    <w:rsid w:val="00B66600"/>
    <w:rsid w:val="00B66858"/>
    <w:rsid w:val="00B66A0C"/>
    <w:rsid w:val="00B66A37"/>
    <w:rsid w:val="00B67339"/>
    <w:rsid w:val="00B67CF5"/>
    <w:rsid w:val="00B67E3C"/>
    <w:rsid w:val="00B705EB"/>
    <w:rsid w:val="00B7064A"/>
    <w:rsid w:val="00B70B4D"/>
    <w:rsid w:val="00B716D0"/>
    <w:rsid w:val="00B71C75"/>
    <w:rsid w:val="00B71F1E"/>
    <w:rsid w:val="00B72533"/>
    <w:rsid w:val="00B727C5"/>
    <w:rsid w:val="00B72943"/>
    <w:rsid w:val="00B729F3"/>
    <w:rsid w:val="00B72ADC"/>
    <w:rsid w:val="00B72FD6"/>
    <w:rsid w:val="00B7319F"/>
    <w:rsid w:val="00B73E14"/>
    <w:rsid w:val="00B74718"/>
    <w:rsid w:val="00B7536A"/>
    <w:rsid w:val="00B7545B"/>
    <w:rsid w:val="00B75A0C"/>
    <w:rsid w:val="00B75D3B"/>
    <w:rsid w:val="00B75EB7"/>
    <w:rsid w:val="00B76392"/>
    <w:rsid w:val="00B76524"/>
    <w:rsid w:val="00B76A97"/>
    <w:rsid w:val="00B76CD9"/>
    <w:rsid w:val="00B7744B"/>
    <w:rsid w:val="00B777F7"/>
    <w:rsid w:val="00B77A33"/>
    <w:rsid w:val="00B77C76"/>
    <w:rsid w:val="00B80063"/>
    <w:rsid w:val="00B80210"/>
    <w:rsid w:val="00B807D7"/>
    <w:rsid w:val="00B80D4E"/>
    <w:rsid w:val="00B8116B"/>
    <w:rsid w:val="00B81452"/>
    <w:rsid w:val="00B81B70"/>
    <w:rsid w:val="00B81FD2"/>
    <w:rsid w:val="00B8228B"/>
    <w:rsid w:val="00B82522"/>
    <w:rsid w:val="00B82C7D"/>
    <w:rsid w:val="00B8334B"/>
    <w:rsid w:val="00B83647"/>
    <w:rsid w:val="00B83734"/>
    <w:rsid w:val="00B83EA9"/>
    <w:rsid w:val="00B8418D"/>
    <w:rsid w:val="00B84AEC"/>
    <w:rsid w:val="00B84D0B"/>
    <w:rsid w:val="00B8539F"/>
    <w:rsid w:val="00B858F1"/>
    <w:rsid w:val="00B85CC8"/>
    <w:rsid w:val="00B86210"/>
    <w:rsid w:val="00B866D3"/>
    <w:rsid w:val="00B8678C"/>
    <w:rsid w:val="00B86BCC"/>
    <w:rsid w:val="00B86DA7"/>
    <w:rsid w:val="00B86FE2"/>
    <w:rsid w:val="00B87677"/>
    <w:rsid w:val="00B9036A"/>
    <w:rsid w:val="00B90E1F"/>
    <w:rsid w:val="00B91332"/>
    <w:rsid w:val="00B917BA"/>
    <w:rsid w:val="00B92BB4"/>
    <w:rsid w:val="00B930A3"/>
    <w:rsid w:val="00B93159"/>
    <w:rsid w:val="00B931F0"/>
    <w:rsid w:val="00B932D3"/>
    <w:rsid w:val="00B934E4"/>
    <w:rsid w:val="00B9385C"/>
    <w:rsid w:val="00B93D3A"/>
    <w:rsid w:val="00B93F9E"/>
    <w:rsid w:val="00B94CC5"/>
    <w:rsid w:val="00B94E55"/>
    <w:rsid w:val="00B94FC2"/>
    <w:rsid w:val="00B952D5"/>
    <w:rsid w:val="00B95E1A"/>
    <w:rsid w:val="00B95F26"/>
    <w:rsid w:val="00B9638F"/>
    <w:rsid w:val="00B96AA5"/>
    <w:rsid w:val="00B96ADE"/>
    <w:rsid w:val="00B96EED"/>
    <w:rsid w:val="00B96F92"/>
    <w:rsid w:val="00B9703D"/>
    <w:rsid w:val="00B9754C"/>
    <w:rsid w:val="00BA027D"/>
    <w:rsid w:val="00BA0493"/>
    <w:rsid w:val="00BA0F82"/>
    <w:rsid w:val="00BA1580"/>
    <w:rsid w:val="00BA1C82"/>
    <w:rsid w:val="00BA2230"/>
    <w:rsid w:val="00BA2A45"/>
    <w:rsid w:val="00BA31CF"/>
    <w:rsid w:val="00BA3450"/>
    <w:rsid w:val="00BA378F"/>
    <w:rsid w:val="00BA3B8C"/>
    <w:rsid w:val="00BA477F"/>
    <w:rsid w:val="00BA4FAF"/>
    <w:rsid w:val="00BA578C"/>
    <w:rsid w:val="00BA5BC2"/>
    <w:rsid w:val="00BA5CD3"/>
    <w:rsid w:val="00BA607C"/>
    <w:rsid w:val="00BA648F"/>
    <w:rsid w:val="00BA7369"/>
    <w:rsid w:val="00BA7668"/>
    <w:rsid w:val="00BA7CB0"/>
    <w:rsid w:val="00BA7E63"/>
    <w:rsid w:val="00BB13B9"/>
    <w:rsid w:val="00BB17B9"/>
    <w:rsid w:val="00BB1958"/>
    <w:rsid w:val="00BB1C51"/>
    <w:rsid w:val="00BB1D00"/>
    <w:rsid w:val="00BB1F83"/>
    <w:rsid w:val="00BB24ED"/>
    <w:rsid w:val="00BB2979"/>
    <w:rsid w:val="00BB2C93"/>
    <w:rsid w:val="00BB342E"/>
    <w:rsid w:val="00BB35CD"/>
    <w:rsid w:val="00BB43A0"/>
    <w:rsid w:val="00BB4789"/>
    <w:rsid w:val="00BB4BF7"/>
    <w:rsid w:val="00BB5031"/>
    <w:rsid w:val="00BB525B"/>
    <w:rsid w:val="00BB545D"/>
    <w:rsid w:val="00BB5BBB"/>
    <w:rsid w:val="00BB5C69"/>
    <w:rsid w:val="00BB5C93"/>
    <w:rsid w:val="00BB5E9D"/>
    <w:rsid w:val="00BB6368"/>
    <w:rsid w:val="00BB638B"/>
    <w:rsid w:val="00BB6549"/>
    <w:rsid w:val="00BB7DB0"/>
    <w:rsid w:val="00BB7E23"/>
    <w:rsid w:val="00BC04E9"/>
    <w:rsid w:val="00BC058D"/>
    <w:rsid w:val="00BC07F8"/>
    <w:rsid w:val="00BC0820"/>
    <w:rsid w:val="00BC0BCE"/>
    <w:rsid w:val="00BC0EB5"/>
    <w:rsid w:val="00BC141A"/>
    <w:rsid w:val="00BC1550"/>
    <w:rsid w:val="00BC1767"/>
    <w:rsid w:val="00BC19DB"/>
    <w:rsid w:val="00BC1ACA"/>
    <w:rsid w:val="00BC1E21"/>
    <w:rsid w:val="00BC201E"/>
    <w:rsid w:val="00BC287B"/>
    <w:rsid w:val="00BC2B51"/>
    <w:rsid w:val="00BC3CEB"/>
    <w:rsid w:val="00BC4208"/>
    <w:rsid w:val="00BC48EA"/>
    <w:rsid w:val="00BC4A6C"/>
    <w:rsid w:val="00BC4C63"/>
    <w:rsid w:val="00BC4D19"/>
    <w:rsid w:val="00BC5055"/>
    <w:rsid w:val="00BC595E"/>
    <w:rsid w:val="00BC59E8"/>
    <w:rsid w:val="00BC772B"/>
    <w:rsid w:val="00BD013F"/>
    <w:rsid w:val="00BD0636"/>
    <w:rsid w:val="00BD0A7F"/>
    <w:rsid w:val="00BD0C08"/>
    <w:rsid w:val="00BD0D3D"/>
    <w:rsid w:val="00BD3745"/>
    <w:rsid w:val="00BD3865"/>
    <w:rsid w:val="00BD3FB8"/>
    <w:rsid w:val="00BD45FE"/>
    <w:rsid w:val="00BD47F7"/>
    <w:rsid w:val="00BD480F"/>
    <w:rsid w:val="00BD4B24"/>
    <w:rsid w:val="00BD4C9D"/>
    <w:rsid w:val="00BD5EB8"/>
    <w:rsid w:val="00BD63E7"/>
    <w:rsid w:val="00BD6DA4"/>
    <w:rsid w:val="00BD714E"/>
    <w:rsid w:val="00BD7353"/>
    <w:rsid w:val="00BD73E8"/>
    <w:rsid w:val="00BE064C"/>
    <w:rsid w:val="00BE0D9C"/>
    <w:rsid w:val="00BE1027"/>
    <w:rsid w:val="00BE1F31"/>
    <w:rsid w:val="00BE2D11"/>
    <w:rsid w:val="00BE347D"/>
    <w:rsid w:val="00BE4308"/>
    <w:rsid w:val="00BE4B8F"/>
    <w:rsid w:val="00BE4D49"/>
    <w:rsid w:val="00BE5314"/>
    <w:rsid w:val="00BE57A0"/>
    <w:rsid w:val="00BE58EC"/>
    <w:rsid w:val="00BE5B1F"/>
    <w:rsid w:val="00BE66AE"/>
    <w:rsid w:val="00BE6763"/>
    <w:rsid w:val="00BE7EED"/>
    <w:rsid w:val="00BF0BF8"/>
    <w:rsid w:val="00BF1045"/>
    <w:rsid w:val="00BF10D0"/>
    <w:rsid w:val="00BF1788"/>
    <w:rsid w:val="00BF2801"/>
    <w:rsid w:val="00BF2ABE"/>
    <w:rsid w:val="00BF2CC7"/>
    <w:rsid w:val="00BF2F64"/>
    <w:rsid w:val="00BF2FD5"/>
    <w:rsid w:val="00BF3252"/>
    <w:rsid w:val="00BF3392"/>
    <w:rsid w:val="00BF341E"/>
    <w:rsid w:val="00BF342F"/>
    <w:rsid w:val="00BF3A1D"/>
    <w:rsid w:val="00BF3FFF"/>
    <w:rsid w:val="00BF4141"/>
    <w:rsid w:val="00BF5537"/>
    <w:rsid w:val="00BF6F2B"/>
    <w:rsid w:val="00BF7BB9"/>
    <w:rsid w:val="00BF7EFF"/>
    <w:rsid w:val="00C02308"/>
    <w:rsid w:val="00C0237B"/>
    <w:rsid w:val="00C027D8"/>
    <w:rsid w:val="00C02813"/>
    <w:rsid w:val="00C02A42"/>
    <w:rsid w:val="00C039EA"/>
    <w:rsid w:val="00C03A9A"/>
    <w:rsid w:val="00C049BD"/>
    <w:rsid w:val="00C04B29"/>
    <w:rsid w:val="00C06907"/>
    <w:rsid w:val="00C06ACB"/>
    <w:rsid w:val="00C074AE"/>
    <w:rsid w:val="00C105FD"/>
    <w:rsid w:val="00C1095F"/>
    <w:rsid w:val="00C110AD"/>
    <w:rsid w:val="00C11506"/>
    <w:rsid w:val="00C11DC4"/>
    <w:rsid w:val="00C120F6"/>
    <w:rsid w:val="00C122AB"/>
    <w:rsid w:val="00C12689"/>
    <w:rsid w:val="00C1286C"/>
    <w:rsid w:val="00C12C7F"/>
    <w:rsid w:val="00C12CE2"/>
    <w:rsid w:val="00C12F78"/>
    <w:rsid w:val="00C12FDA"/>
    <w:rsid w:val="00C13217"/>
    <w:rsid w:val="00C13611"/>
    <w:rsid w:val="00C13C69"/>
    <w:rsid w:val="00C14653"/>
    <w:rsid w:val="00C14AFF"/>
    <w:rsid w:val="00C14B48"/>
    <w:rsid w:val="00C1519A"/>
    <w:rsid w:val="00C1545A"/>
    <w:rsid w:val="00C15541"/>
    <w:rsid w:val="00C155FE"/>
    <w:rsid w:val="00C15B36"/>
    <w:rsid w:val="00C161BA"/>
    <w:rsid w:val="00C17409"/>
    <w:rsid w:val="00C177C6"/>
    <w:rsid w:val="00C17F63"/>
    <w:rsid w:val="00C20223"/>
    <w:rsid w:val="00C20230"/>
    <w:rsid w:val="00C2033F"/>
    <w:rsid w:val="00C20365"/>
    <w:rsid w:val="00C20627"/>
    <w:rsid w:val="00C20857"/>
    <w:rsid w:val="00C209EB"/>
    <w:rsid w:val="00C20D02"/>
    <w:rsid w:val="00C20E5C"/>
    <w:rsid w:val="00C20FB2"/>
    <w:rsid w:val="00C214A8"/>
    <w:rsid w:val="00C214B9"/>
    <w:rsid w:val="00C21632"/>
    <w:rsid w:val="00C216D9"/>
    <w:rsid w:val="00C2239A"/>
    <w:rsid w:val="00C22459"/>
    <w:rsid w:val="00C22883"/>
    <w:rsid w:val="00C22D9B"/>
    <w:rsid w:val="00C23599"/>
    <w:rsid w:val="00C23D4B"/>
    <w:rsid w:val="00C23EBA"/>
    <w:rsid w:val="00C24859"/>
    <w:rsid w:val="00C25AA2"/>
    <w:rsid w:val="00C26368"/>
    <w:rsid w:val="00C26A49"/>
    <w:rsid w:val="00C26AD1"/>
    <w:rsid w:val="00C26BCF"/>
    <w:rsid w:val="00C26DB5"/>
    <w:rsid w:val="00C272A2"/>
    <w:rsid w:val="00C2764A"/>
    <w:rsid w:val="00C276EC"/>
    <w:rsid w:val="00C277A4"/>
    <w:rsid w:val="00C27841"/>
    <w:rsid w:val="00C3085E"/>
    <w:rsid w:val="00C30B0B"/>
    <w:rsid w:val="00C30DF4"/>
    <w:rsid w:val="00C30F3C"/>
    <w:rsid w:val="00C30F8D"/>
    <w:rsid w:val="00C313B2"/>
    <w:rsid w:val="00C3159E"/>
    <w:rsid w:val="00C31803"/>
    <w:rsid w:val="00C3252B"/>
    <w:rsid w:val="00C32724"/>
    <w:rsid w:val="00C32B43"/>
    <w:rsid w:val="00C32EFD"/>
    <w:rsid w:val="00C33337"/>
    <w:rsid w:val="00C3424D"/>
    <w:rsid w:val="00C34882"/>
    <w:rsid w:val="00C3497B"/>
    <w:rsid w:val="00C34C51"/>
    <w:rsid w:val="00C34E26"/>
    <w:rsid w:val="00C35F8D"/>
    <w:rsid w:val="00C3606D"/>
    <w:rsid w:val="00C361BA"/>
    <w:rsid w:val="00C361BC"/>
    <w:rsid w:val="00C3682F"/>
    <w:rsid w:val="00C36A24"/>
    <w:rsid w:val="00C40891"/>
    <w:rsid w:val="00C409FE"/>
    <w:rsid w:val="00C40C42"/>
    <w:rsid w:val="00C4106F"/>
    <w:rsid w:val="00C413AC"/>
    <w:rsid w:val="00C41F69"/>
    <w:rsid w:val="00C4297A"/>
    <w:rsid w:val="00C42A92"/>
    <w:rsid w:val="00C42CFA"/>
    <w:rsid w:val="00C42F00"/>
    <w:rsid w:val="00C43146"/>
    <w:rsid w:val="00C432FA"/>
    <w:rsid w:val="00C43725"/>
    <w:rsid w:val="00C4391B"/>
    <w:rsid w:val="00C4398D"/>
    <w:rsid w:val="00C44278"/>
    <w:rsid w:val="00C44AD0"/>
    <w:rsid w:val="00C44D56"/>
    <w:rsid w:val="00C45075"/>
    <w:rsid w:val="00C456C9"/>
    <w:rsid w:val="00C45A54"/>
    <w:rsid w:val="00C46AC0"/>
    <w:rsid w:val="00C47C6E"/>
    <w:rsid w:val="00C47F8A"/>
    <w:rsid w:val="00C5034E"/>
    <w:rsid w:val="00C50782"/>
    <w:rsid w:val="00C508D1"/>
    <w:rsid w:val="00C50CB2"/>
    <w:rsid w:val="00C50CD8"/>
    <w:rsid w:val="00C50D54"/>
    <w:rsid w:val="00C51252"/>
    <w:rsid w:val="00C51AE6"/>
    <w:rsid w:val="00C51E70"/>
    <w:rsid w:val="00C52197"/>
    <w:rsid w:val="00C52435"/>
    <w:rsid w:val="00C52D26"/>
    <w:rsid w:val="00C53188"/>
    <w:rsid w:val="00C53365"/>
    <w:rsid w:val="00C53F1B"/>
    <w:rsid w:val="00C55496"/>
    <w:rsid w:val="00C55AD8"/>
    <w:rsid w:val="00C56461"/>
    <w:rsid w:val="00C5687C"/>
    <w:rsid w:val="00C568F1"/>
    <w:rsid w:val="00C57319"/>
    <w:rsid w:val="00C6009D"/>
    <w:rsid w:val="00C6067F"/>
    <w:rsid w:val="00C6071D"/>
    <w:rsid w:val="00C60C2B"/>
    <w:rsid w:val="00C61946"/>
    <w:rsid w:val="00C61B93"/>
    <w:rsid w:val="00C62BFC"/>
    <w:rsid w:val="00C62D4C"/>
    <w:rsid w:val="00C63AC6"/>
    <w:rsid w:val="00C63DE4"/>
    <w:rsid w:val="00C64169"/>
    <w:rsid w:val="00C6419B"/>
    <w:rsid w:val="00C6432E"/>
    <w:rsid w:val="00C64748"/>
    <w:rsid w:val="00C648E4"/>
    <w:rsid w:val="00C6525A"/>
    <w:rsid w:val="00C65837"/>
    <w:rsid w:val="00C65885"/>
    <w:rsid w:val="00C65B57"/>
    <w:rsid w:val="00C65E04"/>
    <w:rsid w:val="00C667F2"/>
    <w:rsid w:val="00C66A7D"/>
    <w:rsid w:val="00C66B7F"/>
    <w:rsid w:val="00C6706F"/>
    <w:rsid w:val="00C67198"/>
    <w:rsid w:val="00C67598"/>
    <w:rsid w:val="00C675FB"/>
    <w:rsid w:val="00C70050"/>
    <w:rsid w:val="00C70179"/>
    <w:rsid w:val="00C70877"/>
    <w:rsid w:val="00C70A81"/>
    <w:rsid w:val="00C70E08"/>
    <w:rsid w:val="00C7105D"/>
    <w:rsid w:val="00C712EC"/>
    <w:rsid w:val="00C72742"/>
    <w:rsid w:val="00C7292D"/>
    <w:rsid w:val="00C72AC8"/>
    <w:rsid w:val="00C72D31"/>
    <w:rsid w:val="00C7381C"/>
    <w:rsid w:val="00C73EB0"/>
    <w:rsid w:val="00C74018"/>
    <w:rsid w:val="00C742E4"/>
    <w:rsid w:val="00C74C6C"/>
    <w:rsid w:val="00C74D03"/>
    <w:rsid w:val="00C74D6E"/>
    <w:rsid w:val="00C75695"/>
    <w:rsid w:val="00C75964"/>
    <w:rsid w:val="00C75AD6"/>
    <w:rsid w:val="00C75CC0"/>
    <w:rsid w:val="00C761C8"/>
    <w:rsid w:val="00C768A1"/>
    <w:rsid w:val="00C76B0C"/>
    <w:rsid w:val="00C76BDA"/>
    <w:rsid w:val="00C76C56"/>
    <w:rsid w:val="00C77173"/>
    <w:rsid w:val="00C774FF"/>
    <w:rsid w:val="00C77772"/>
    <w:rsid w:val="00C77F70"/>
    <w:rsid w:val="00C81196"/>
    <w:rsid w:val="00C818A8"/>
    <w:rsid w:val="00C8191E"/>
    <w:rsid w:val="00C81E86"/>
    <w:rsid w:val="00C82934"/>
    <w:rsid w:val="00C834F8"/>
    <w:rsid w:val="00C838DE"/>
    <w:rsid w:val="00C839F2"/>
    <w:rsid w:val="00C851BA"/>
    <w:rsid w:val="00C853B9"/>
    <w:rsid w:val="00C85954"/>
    <w:rsid w:val="00C85B64"/>
    <w:rsid w:val="00C85E92"/>
    <w:rsid w:val="00C860F9"/>
    <w:rsid w:val="00C8698F"/>
    <w:rsid w:val="00C86E4C"/>
    <w:rsid w:val="00C86FD1"/>
    <w:rsid w:val="00C87551"/>
    <w:rsid w:val="00C9030F"/>
    <w:rsid w:val="00C90739"/>
    <w:rsid w:val="00C90F73"/>
    <w:rsid w:val="00C91B62"/>
    <w:rsid w:val="00C91E7C"/>
    <w:rsid w:val="00C9216E"/>
    <w:rsid w:val="00C9218E"/>
    <w:rsid w:val="00C922ED"/>
    <w:rsid w:val="00C923E2"/>
    <w:rsid w:val="00C9349C"/>
    <w:rsid w:val="00C93A0E"/>
    <w:rsid w:val="00C944CD"/>
    <w:rsid w:val="00C94D91"/>
    <w:rsid w:val="00C96C4D"/>
    <w:rsid w:val="00C975C0"/>
    <w:rsid w:val="00C97FD7"/>
    <w:rsid w:val="00CA0B34"/>
    <w:rsid w:val="00CA0DA0"/>
    <w:rsid w:val="00CA0EEC"/>
    <w:rsid w:val="00CA1537"/>
    <w:rsid w:val="00CA1A10"/>
    <w:rsid w:val="00CA1F6E"/>
    <w:rsid w:val="00CA20DA"/>
    <w:rsid w:val="00CA2A51"/>
    <w:rsid w:val="00CA310C"/>
    <w:rsid w:val="00CA3831"/>
    <w:rsid w:val="00CA390B"/>
    <w:rsid w:val="00CA4015"/>
    <w:rsid w:val="00CA417B"/>
    <w:rsid w:val="00CA49F5"/>
    <w:rsid w:val="00CA5563"/>
    <w:rsid w:val="00CA625E"/>
    <w:rsid w:val="00CA63EB"/>
    <w:rsid w:val="00CA6507"/>
    <w:rsid w:val="00CA6CA7"/>
    <w:rsid w:val="00CA7C9B"/>
    <w:rsid w:val="00CA7D35"/>
    <w:rsid w:val="00CB0A62"/>
    <w:rsid w:val="00CB0FDC"/>
    <w:rsid w:val="00CB1003"/>
    <w:rsid w:val="00CB1A52"/>
    <w:rsid w:val="00CB1F7A"/>
    <w:rsid w:val="00CB21A7"/>
    <w:rsid w:val="00CB24B5"/>
    <w:rsid w:val="00CB260E"/>
    <w:rsid w:val="00CB28D0"/>
    <w:rsid w:val="00CB295A"/>
    <w:rsid w:val="00CB2C64"/>
    <w:rsid w:val="00CB2E52"/>
    <w:rsid w:val="00CB37E9"/>
    <w:rsid w:val="00CB3C37"/>
    <w:rsid w:val="00CB3D07"/>
    <w:rsid w:val="00CB3D66"/>
    <w:rsid w:val="00CB42B7"/>
    <w:rsid w:val="00CB4683"/>
    <w:rsid w:val="00CB5994"/>
    <w:rsid w:val="00CB5F38"/>
    <w:rsid w:val="00CB6105"/>
    <w:rsid w:val="00CB671F"/>
    <w:rsid w:val="00CB6B48"/>
    <w:rsid w:val="00CB7CFD"/>
    <w:rsid w:val="00CB7E3D"/>
    <w:rsid w:val="00CC0298"/>
    <w:rsid w:val="00CC0A80"/>
    <w:rsid w:val="00CC1225"/>
    <w:rsid w:val="00CC13C5"/>
    <w:rsid w:val="00CC191A"/>
    <w:rsid w:val="00CC1A9D"/>
    <w:rsid w:val="00CC1C6F"/>
    <w:rsid w:val="00CC2576"/>
    <w:rsid w:val="00CC2AF4"/>
    <w:rsid w:val="00CC2B22"/>
    <w:rsid w:val="00CC302A"/>
    <w:rsid w:val="00CC3533"/>
    <w:rsid w:val="00CC3E09"/>
    <w:rsid w:val="00CC486B"/>
    <w:rsid w:val="00CC48EF"/>
    <w:rsid w:val="00CC4F6A"/>
    <w:rsid w:val="00CC4F97"/>
    <w:rsid w:val="00CC56DA"/>
    <w:rsid w:val="00CC5A2A"/>
    <w:rsid w:val="00CC60ED"/>
    <w:rsid w:val="00CC6F0A"/>
    <w:rsid w:val="00CC763E"/>
    <w:rsid w:val="00CC7918"/>
    <w:rsid w:val="00CC7933"/>
    <w:rsid w:val="00CD0691"/>
    <w:rsid w:val="00CD092E"/>
    <w:rsid w:val="00CD11EA"/>
    <w:rsid w:val="00CD1276"/>
    <w:rsid w:val="00CD2BB0"/>
    <w:rsid w:val="00CD2FB8"/>
    <w:rsid w:val="00CD3206"/>
    <w:rsid w:val="00CD3A96"/>
    <w:rsid w:val="00CD3B58"/>
    <w:rsid w:val="00CD3BD3"/>
    <w:rsid w:val="00CD3E9B"/>
    <w:rsid w:val="00CD42C5"/>
    <w:rsid w:val="00CD46FB"/>
    <w:rsid w:val="00CD483B"/>
    <w:rsid w:val="00CD4F47"/>
    <w:rsid w:val="00CD4FA5"/>
    <w:rsid w:val="00CD53EF"/>
    <w:rsid w:val="00CD5665"/>
    <w:rsid w:val="00CD5AB6"/>
    <w:rsid w:val="00CD6475"/>
    <w:rsid w:val="00CD661A"/>
    <w:rsid w:val="00CD66F1"/>
    <w:rsid w:val="00CD7112"/>
    <w:rsid w:val="00CD749B"/>
    <w:rsid w:val="00CD7572"/>
    <w:rsid w:val="00CD77B0"/>
    <w:rsid w:val="00CE03AA"/>
    <w:rsid w:val="00CE0511"/>
    <w:rsid w:val="00CE0860"/>
    <w:rsid w:val="00CE0C5A"/>
    <w:rsid w:val="00CE1A41"/>
    <w:rsid w:val="00CE1CC4"/>
    <w:rsid w:val="00CE2947"/>
    <w:rsid w:val="00CE321D"/>
    <w:rsid w:val="00CE38E5"/>
    <w:rsid w:val="00CE3C68"/>
    <w:rsid w:val="00CE4DF7"/>
    <w:rsid w:val="00CE4EC0"/>
    <w:rsid w:val="00CE52DD"/>
    <w:rsid w:val="00CE5645"/>
    <w:rsid w:val="00CE5827"/>
    <w:rsid w:val="00CE5DAD"/>
    <w:rsid w:val="00CE6989"/>
    <w:rsid w:val="00CE6B00"/>
    <w:rsid w:val="00CE7495"/>
    <w:rsid w:val="00CE77E2"/>
    <w:rsid w:val="00CE79FE"/>
    <w:rsid w:val="00CE7A09"/>
    <w:rsid w:val="00CE7E19"/>
    <w:rsid w:val="00CE7F10"/>
    <w:rsid w:val="00CF0661"/>
    <w:rsid w:val="00CF0B30"/>
    <w:rsid w:val="00CF0C1E"/>
    <w:rsid w:val="00CF1DB2"/>
    <w:rsid w:val="00CF2F08"/>
    <w:rsid w:val="00CF2F7C"/>
    <w:rsid w:val="00CF370E"/>
    <w:rsid w:val="00CF397A"/>
    <w:rsid w:val="00CF412B"/>
    <w:rsid w:val="00CF45BA"/>
    <w:rsid w:val="00CF49E2"/>
    <w:rsid w:val="00CF4A7D"/>
    <w:rsid w:val="00CF4A9A"/>
    <w:rsid w:val="00CF51B7"/>
    <w:rsid w:val="00CF5A50"/>
    <w:rsid w:val="00CF645E"/>
    <w:rsid w:val="00CF6B5C"/>
    <w:rsid w:val="00CF6E64"/>
    <w:rsid w:val="00CF775F"/>
    <w:rsid w:val="00CF7F1A"/>
    <w:rsid w:val="00D00000"/>
    <w:rsid w:val="00D00FB2"/>
    <w:rsid w:val="00D01475"/>
    <w:rsid w:val="00D0244F"/>
    <w:rsid w:val="00D02601"/>
    <w:rsid w:val="00D02822"/>
    <w:rsid w:val="00D02996"/>
    <w:rsid w:val="00D036E3"/>
    <w:rsid w:val="00D03E1C"/>
    <w:rsid w:val="00D03E8E"/>
    <w:rsid w:val="00D042EA"/>
    <w:rsid w:val="00D04480"/>
    <w:rsid w:val="00D04EB8"/>
    <w:rsid w:val="00D05080"/>
    <w:rsid w:val="00D05ED8"/>
    <w:rsid w:val="00D062C9"/>
    <w:rsid w:val="00D06FF3"/>
    <w:rsid w:val="00D103FE"/>
    <w:rsid w:val="00D1080A"/>
    <w:rsid w:val="00D10AD5"/>
    <w:rsid w:val="00D10DA7"/>
    <w:rsid w:val="00D1120F"/>
    <w:rsid w:val="00D117BB"/>
    <w:rsid w:val="00D11D71"/>
    <w:rsid w:val="00D11D8F"/>
    <w:rsid w:val="00D11D95"/>
    <w:rsid w:val="00D11FAD"/>
    <w:rsid w:val="00D1200E"/>
    <w:rsid w:val="00D122CF"/>
    <w:rsid w:val="00D12783"/>
    <w:rsid w:val="00D12A9F"/>
    <w:rsid w:val="00D13414"/>
    <w:rsid w:val="00D139C2"/>
    <w:rsid w:val="00D14249"/>
    <w:rsid w:val="00D145D5"/>
    <w:rsid w:val="00D146D3"/>
    <w:rsid w:val="00D15156"/>
    <w:rsid w:val="00D15D38"/>
    <w:rsid w:val="00D16714"/>
    <w:rsid w:val="00D16B21"/>
    <w:rsid w:val="00D171E0"/>
    <w:rsid w:val="00D173F3"/>
    <w:rsid w:val="00D17DA5"/>
    <w:rsid w:val="00D2085F"/>
    <w:rsid w:val="00D20DB0"/>
    <w:rsid w:val="00D20FC9"/>
    <w:rsid w:val="00D21056"/>
    <w:rsid w:val="00D216D1"/>
    <w:rsid w:val="00D21A24"/>
    <w:rsid w:val="00D2226F"/>
    <w:rsid w:val="00D22613"/>
    <w:rsid w:val="00D2352F"/>
    <w:rsid w:val="00D2357E"/>
    <w:rsid w:val="00D2454E"/>
    <w:rsid w:val="00D2461C"/>
    <w:rsid w:val="00D24C5D"/>
    <w:rsid w:val="00D25634"/>
    <w:rsid w:val="00D25C7D"/>
    <w:rsid w:val="00D25C9C"/>
    <w:rsid w:val="00D25D54"/>
    <w:rsid w:val="00D261E5"/>
    <w:rsid w:val="00D2649E"/>
    <w:rsid w:val="00D269E1"/>
    <w:rsid w:val="00D27064"/>
    <w:rsid w:val="00D274AE"/>
    <w:rsid w:val="00D27A35"/>
    <w:rsid w:val="00D27E68"/>
    <w:rsid w:val="00D30266"/>
    <w:rsid w:val="00D30395"/>
    <w:rsid w:val="00D306AE"/>
    <w:rsid w:val="00D30DB7"/>
    <w:rsid w:val="00D317EC"/>
    <w:rsid w:val="00D31B82"/>
    <w:rsid w:val="00D31D83"/>
    <w:rsid w:val="00D32E49"/>
    <w:rsid w:val="00D3386D"/>
    <w:rsid w:val="00D33EB8"/>
    <w:rsid w:val="00D346B5"/>
    <w:rsid w:val="00D3481D"/>
    <w:rsid w:val="00D34D45"/>
    <w:rsid w:val="00D351E8"/>
    <w:rsid w:val="00D363CD"/>
    <w:rsid w:val="00D3794F"/>
    <w:rsid w:val="00D40670"/>
    <w:rsid w:val="00D40900"/>
    <w:rsid w:val="00D40EAB"/>
    <w:rsid w:val="00D40F89"/>
    <w:rsid w:val="00D41015"/>
    <w:rsid w:val="00D4142E"/>
    <w:rsid w:val="00D41766"/>
    <w:rsid w:val="00D43038"/>
    <w:rsid w:val="00D439C1"/>
    <w:rsid w:val="00D43B83"/>
    <w:rsid w:val="00D43C18"/>
    <w:rsid w:val="00D43C7C"/>
    <w:rsid w:val="00D44BD9"/>
    <w:rsid w:val="00D44D28"/>
    <w:rsid w:val="00D45A71"/>
    <w:rsid w:val="00D46138"/>
    <w:rsid w:val="00D463E7"/>
    <w:rsid w:val="00D46491"/>
    <w:rsid w:val="00D4693D"/>
    <w:rsid w:val="00D47308"/>
    <w:rsid w:val="00D4764F"/>
    <w:rsid w:val="00D5016D"/>
    <w:rsid w:val="00D5094A"/>
    <w:rsid w:val="00D50FD1"/>
    <w:rsid w:val="00D511EE"/>
    <w:rsid w:val="00D51491"/>
    <w:rsid w:val="00D51740"/>
    <w:rsid w:val="00D51ACD"/>
    <w:rsid w:val="00D52574"/>
    <w:rsid w:val="00D52B28"/>
    <w:rsid w:val="00D52FFF"/>
    <w:rsid w:val="00D53A62"/>
    <w:rsid w:val="00D53CD0"/>
    <w:rsid w:val="00D53ECB"/>
    <w:rsid w:val="00D54085"/>
    <w:rsid w:val="00D54494"/>
    <w:rsid w:val="00D5460A"/>
    <w:rsid w:val="00D546FC"/>
    <w:rsid w:val="00D547F2"/>
    <w:rsid w:val="00D54F26"/>
    <w:rsid w:val="00D55075"/>
    <w:rsid w:val="00D55B97"/>
    <w:rsid w:val="00D56362"/>
    <w:rsid w:val="00D576ED"/>
    <w:rsid w:val="00D57CF6"/>
    <w:rsid w:val="00D603E4"/>
    <w:rsid w:val="00D61006"/>
    <w:rsid w:val="00D614BC"/>
    <w:rsid w:val="00D61654"/>
    <w:rsid w:val="00D61870"/>
    <w:rsid w:val="00D6189A"/>
    <w:rsid w:val="00D61AB3"/>
    <w:rsid w:val="00D61D9F"/>
    <w:rsid w:val="00D61F53"/>
    <w:rsid w:val="00D61F9B"/>
    <w:rsid w:val="00D628EA"/>
    <w:rsid w:val="00D6372E"/>
    <w:rsid w:val="00D63911"/>
    <w:rsid w:val="00D63A36"/>
    <w:rsid w:val="00D63A71"/>
    <w:rsid w:val="00D63C68"/>
    <w:rsid w:val="00D63DE1"/>
    <w:rsid w:val="00D63F2B"/>
    <w:rsid w:val="00D643C5"/>
    <w:rsid w:val="00D64544"/>
    <w:rsid w:val="00D651D5"/>
    <w:rsid w:val="00D65FE0"/>
    <w:rsid w:val="00D66039"/>
    <w:rsid w:val="00D66F4E"/>
    <w:rsid w:val="00D672FB"/>
    <w:rsid w:val="00D679BC"/>
    <w:rsid w:val="00D67D16"/>
    <w:rsid w:val="00D7048D"/>
    <w:rsid w:val="00D70D0A"/>
    <w:rsid w:val="00D710C1"/>
    <w:rsid w:val="00D712B8"/>
    <w:rsid w:val="00D71B6E"/>
    <w:rsid w:val="00D71E90"/>
    <w:rsid w:val="00D721AF"/>
    <w:rsid w:val="00D72847"/>
    <w:rsid w:val="00D72C8A"/>
    <w:rsid w:val="00D7379F"/>
    <w:rsid w:val="00D73CC5"/>
    <w:rsid w:val="00D7495D"/>
    <w:rsid w:val="00D75208"/>
    <w:rsid w:val="00D756E5"/>
    <w:rsid w:val="00D75D59"/>
    <w:rsid w:val="00D760C0"/>
    <w:rsid w:val="00D764B2"/>
    <w:rsid w:val="00D764CF"/>
    <w:rsid w:val="00D76E57"/>
    <w:rsid w:val="00D8029E"/>
    <w:rsid w:val="00D809D0"/>
    <w:rsid w:val="00D80A1A"/>
    <w:rsid w:val="00D80B8A"/>
    <w:rsid w:val="00D80D37"/>
    <w:rsid w:val="00D81413"/>
    <w:rsid w:val="00D81858"/>
    <w:rsid w:val="00D819EE"/>
    <w:rsid w:val="00D824A7"/>
    <w:rsid w:val="00D824DD"/>
    <w:rsid w:val="00D824FF"/>
    <w:rsid w:val="00D825E5"/>
    <w:rsid w:val="00D8281F"/>
    <w:rsid w:val="00D82939"/>
    <w:rsid w:val="00D82ACB"/>
    <w:rsid w:val="00D82DDA"/>
    <w:rsid w:val="00D83381"/>
    <w:rsid w:val="00D8341B"/>
    <w:rsid w:val="00D84A10"/>
    <w:rsid w:val="00D84DD3"/>
    <w:rsid w:val="00D851A5"/>
    <w:rsid w:val="00D851B9"/>
    <w:rsid w:val="00D853EF"/>
    <w:rsid w:val="00D85626"/>
    <w:rsid w:val="00D85D20"/>
    <w:rsid w:val="00D85EDC"/>
    <w:rsid w:val="00D860BF"/>
    <w:rsid w:val="00D86F6D"/>
    <w:rsid w:val="00D87E18"/>
    <w:rsid w:val="00D90076"/>
    <w:rsid w:val="00D901B2"/>
    <w:rsid w:val="00D90399"/>
    <w:rsid w:val="00D9058F"/>
    <w:rsid w:val="00D90759"/>
    <w:rsid w:val="00D90979"/>
    <w:rsid w:val="00D911B0"/>
    <w:rsid w:val="00D913EB"/>
    <w:rsid w:val="00D92044"/>
    <w:rsid w:val="00D920CA"/>
    <w:rsid w:val="00D92CBC"/>
    <w:rsid w:val="00D9323E"/>
    <w:rsid w:val="00D93263"/>
    <w:rsid w:val="00D935D8"/>
    <w:rsid w:val="00D93767"/>
    <w:rsid w:val="00D937CF"/>
    <w:rsid w:val="00D938D7"/>
    <w:rsid w:val="00D94281"/>
    <w:rsid w:val="00D943D9"/>
    <w:rsid w:val="00D945C4"/>
    <w:rsid w:val="00D94FC0"/>
    <w:rsid w:val="00D94FD5"/>
    <w:rsid w:val="00D94FE8"/>
    <w:rsid w:val="00D95230"/>
    <w:rsid w:val="00D959FB"/>
    <w:rsid w:val="00D96071"/>
    <w:rsid w:val="00D9614C"/>
    <w:rsid w:val="00D96247"/>
    <w:rsid w:val="00D96BCF"/>
    <w:rsid w:val="00D96E97"/>
    <w:rsid w:val="00D9756C"/>
    <w:rsid w:val="00D97C87"/>
    <w:rsid w:val="00DA04B8"/>
    <w:rsid w:val="00DA0FEF"/>
    <w:rsid w:val="00DA15DA"/>
    <w:rsid w:val="00DA1C42"/>
    <w:rsid w:val="00DA1CCB"/>
    <w:rsid w:val="00DA1ED9"/>
    <w:rsid w:val="00DA2BF0"/>
    <w:rsid w:val="00DA3485"/>
    <w:rsid w:val="00DA3555"/>
    <w:rsid w:val="00DA3764"/>
    <w:rsid w:val="00DA3908"/>
    <w:rsid w:val="00DA3D99"/>
    <w:rsid w:val="00DA40D2"/>
    <w:rsid w:val="00DA4F4F"/>
    <w:rsid w:val="00DA5498"/>
    <w:rsid w:val="00DA54CB"/>
    <w:rsid w:val="00DA5677"/>
    <w:rsid w:val="00DA5AF7"/>
    <w:rsid w:val="00DA65A0"/>
    <w:rsid w:val="00DA7029"/>
    <w:rsid w:val="00DA74F3"/>
    <w:rsid w:val="00DA7887"/>
    <w:rsid w:val="00DB026F"/>
    <w:rsid w:val="00DB037E"/>
    <w:rsid w:val="00DB1C1C"/>
    <w:rsid w:val="00DB260B"/>
    <w:rsid w:val="00DB3083"/>
    <w:rsid w:val="00DB42D8"/>
    <w:rsid w:val="00DB46B1"/>
    <w:rsid w:val="00DB47C5"/>
    <w:rsid w:val="00DB5FA6"/>
    <w:rsid w:val="00DB6144"/>
    <w:rsid w:val="00DB6150"/>
    <w:rsid w:val="00DB7A3E"/>
    <w:rsid w:val="00DC0A30"/>
    <w:rsid w:val="00DC0F71"/>
    <w:rsid w:val="00DC210C"/>
    <w:rsid w:val="00DC2160"/>
    <w:rsid w:val="00DC2ACD"/>
    <w:rsid w:val="00DC335A"/>
    <w:rsid w:val="00DC37B5"/>
    <w:rsid w:val="00DC3AC5"/>
    <w:rsid w:val="00DC3ED8"/>
    <w:rsid w:val="00DC40CD"/>
    <w:rsid w:val="00DC4172"/>
    <w:rsid w:val="00DC4521"/>
    <w:rsid w:val="00DC54F5"/>
    <w:rsid w:val="00DC5A89"/>
    <w:rsid w:val="00DC5E61"/>
    <w:rsid w:val="00DC6F21"/>
    <w:rsid w:val="00DC72E1"/>
    <w:rsid w:val="00DC7CC3"/>
    <w:rsid w:val="00DC7DE6"/>
    <w:rsid w:val="00DC7DF8"/>
    <w:rsid w:val="00DC7FEF"/>
    <w:rsid w:val="00DD1788"/>
    <w:rsid w:val="00DD25E2"/>
    <w:rsid w:val="00DD2695"/>
    <w:rsid w:val="00DD3392"/>
    <w:rsid w:val="00DD3517"/>
    <w:rsid w:val="00DD391C"/>
    <w:rsid w:val="00DD3A09"/>
    <w:rsid w:val="00DD4B87"/>
    <w:rsid w:val="00DD56CC"/>
    <w:rsid w:val="00DD64BB"/>
    <w:rsid w:val="00DD75F2"/>
    <w:rsid w:val="00DD77AE"/>
    <w:rsid w:val="00DE019A"/>
    <w:rsid w:val="00DE0678"/>
    <w:rsid w:val="00DE0AC7"/>
    <w:rsid w:val="00DE0C62"/>
    <w:rsid w:val="00DE1428"/>
    <w:rsid w:val="00DE143D"/>
    <w:rsid w:val="00DE1A5E"/>
    <w:rsid w:val="00DE1C23"/>
    <w:rsid w:val="00DE2C0A"/>
    <w:rsid w:val="00DE2FE3"/>
    <w:rsid w:val="00DE33D8"/>
    <w:rsid w:val="00DE3467"/>
    <w:rsid w:val="00DE37FC"/>
    <w:rsid w:val="00DE37FF"/>
    <w:rsid w:val="00DE3B4F"/>
    <w:rsid w:val="00DE3C0F"/>
    <w:rsid w:val="00DE4600"/>
    <w:rsid w:val="00DE4A7A"/>
    <w:rsid w:val="00DE4E9B"/>
    <w:rsid w:val="00DE4FB9"/>
    <w:rsid w:val="00DE634D"/>
    <w:rsid w:val="00DE67BA"/>
    <w:rsid w:val="00DE6CB9"/>
    <w:rsid w:val="00DE6FAE"/>
    <w:rsid w:val="00DE73C0"/>
    <w:rsid w:val="00DE757A"/>
    <w:rsid w:val="00DF00C1"/>
    <w:rsid w:val="00DF04C6"/>
    <w:rsid w:val="00DF09DC"/>
    <w:rsid w:val="00DF123B"/>
    <w:rsid w:val="00DF133D"/>
    <w:rsid w:val="00DF185E"/>
    <w:rsid w:val="00DF189B"/>
    <w:rsid w:val="00DF1C52"/>
    <w:rsid w:val="00DF1E5A"/>
    <w:rsid w:val="00DF1FDE"/>
    <w:rsid w:val="00DF277A"/>
    <w:rsid w:val="00DF323E"/>
    <w:rsid w:val="00DF33FF"/>
    <w:rsid w:val="00DF3E4E"/>
    <w:rsid w:val="00DF4643"/>
    <w:rsid w:val="00DF4B05"/>
    <w:rsid w:val="00DF4F4D"/>
    <w:rsid w:val="00DF547C"/>
    <w:rsid w:val="00DF55D1"/>
    <w:rsid w:val="00DF57DA"/>
    <w:rsid w:val="00DF5E73"/>
    <w:rsid w:val="00DF65E3"/>
    <w:rsid w:val="00DF6837"/>
    <w:rsid w:val="00DF7B7B"/>
    <w:rsid w:val="00E00120"/>
    <w:rsid w:val="00E0194F"/>
    <w:rsid w:val="00E01E3C"/>
    <w:rsid w:val="00E01EB2"/>
    <w:rsid w:val="00E023E0"/>
    <w:rsid w:val="00E024D2"/>
    <w:rsid w:val="00E02812"/>
    <w:rsid w:val="00E02B96"/>
    <w:rsid w:val="00E02BAA"/>
    <w:rsid w:val="00E03134"/>
    <w:rsid w:val="00E0317A"/>
    <w:rsid w:val="00E03490"/>
    <w:rsid w:val="00E03559"/>
    <w:rsid w:val="00E046D5"/>
    <w:rsid w:val="00E04830"/>
    <w:rsid w:val="00E04C8C"/>
    <w:rsid w:val="00E0581F"/>
    <w:rsid w:val="00E05F4A"/>
    <w:rsid w:val="00E066E7"/>
    <w:rsid w:val="00E06926"/>
    <w:rsid w:val="00E07272"/>
    <w:rsid w:val="00E072E9"/>
    <w:rsid w:val="00E07866"/>
    <w:rsid w:val="00E10001"/>
    <w:rsid w:val="00E103E1"/>
    <w:rsid w:val="00E10D80"/>
    <w:rsid w:val="00E1109E"/>
    <w:rsid w:val="00E11370"/>
    <w:rsid w:val="00E119CD"/>
    <w:rsid w:val="00E119FF"/>
    <w:rsid w:val="00E11DDE"/>
    <w:rsid w:val="00E12170"/>
    <w:rsid w:val="00E12EBA"/>
    <w:rsid w:val="00E13737"/>
    <w:rsid w:val="00E142A5"/>
    <w:rsid w:val="00E1468C"/>
    <w:rsid w:val="00E15FB9"/>
    <w:rsid w:val="00E1624F"/>
    <w:rsid w:val="00E1665E"/>
    <w:rsid w:val="00E16BD6"/>
    <w:rsid w:val="00E17615"/>
    <w:rsid w:val="00E177A6"/>
    <w:rsid w:val="00E1796B"/>
    <w:rsid w:val="00E201F0"/>
    <w:rsid w:val="00E2090A"/>
    <w:rsid w:val="00E213F4"/>
    <w:rsid w:val="00E218EC"/>
    <w:rsid w:val="00E21C4D"/>
    <w:rsid w:val="00E21C9E"/>
    <w:rsid w:val="00E22570"/>
    <w:rsid w:val="00E2279E"/>
    <w:rsid w:val="00E2295C"/>
    <w:rsid w:val="00E235A5"/>
    <w:rsid w:val="00E23C5C"/>
    <w:rsid w:val="00E23FC1"/>
    <w:rsid w:val="00E23FC8"/>
    <w:rsid w:val="00E240D5"/>
    <w:rsid w:val="00E25540"/>
    <w:rsid w:val="00E2589C"/>
    <w:rsid w:val="00E25F58"/>
    <w:rsid w:val="00E26719"/>
    <w:rsid w:val="00E26739"/>
    <w:rsid w:val="00E271BB"/>
    <w:rsid w:val="00E27F2E"/>
    <w:rsid w:val="00E300C4"/>
    <w:rsid w:val="00E30A3D"/>
    <w:rsid w:val="00E30EB1"/>
    <w:rsid w:val="00E3108E"/>
    <w:rsid w:val="00E31996"/>
    <w:rsid w:val="00E31BA3"/>
    <w:rsid w:val="00E31BCE"/>
    <w:rsid w:val="00E32002"/>
    <w:rsid w:val="00E322C7"/>
    <w:rsid w:val="00E322DB"/>
    <w:rsid w:val="00E3288D"/>
    <w:rsid w:val="00E32A20"/>
    <w:rsid w:val="00E32EA6"/>
    <w:rsid w:val="00E330F2"/>
    <w:rsid w:val="00E33595"/>
    <w:rsid w:val="00E3374F"/>
    <w:rsid w:val="00E33805"/>
    <w:rsid w:val="00E33EC4"/>
    <w:rsid w:val="00E33F58"/>
    <w:rsid w:val="00E34A58"/>
    <w:rsid w:val="00E34DB6"/>
    <w:rsid w:val="00E355B3"/>
    <w:rsid w:val="00E3590B"/>
    <w:rsid w:val="00E35E26"/>
    <w:rsid w:val="00E35E71"/>
    <w:rsid w:val="00E36724"/>
    <w:rsid w:val="00E36B4C"/>
    <w:rsid w:val="00E36DC7"/>
    <w:rsid w:val="00E370DA"/>
    <w:rsid w:val="00E37420"/>
    <w:rsid w:val="00E37A9D"/>
    <w:rsid w:val="00E401AE"/>
    <w:rsid w:val="00E403DD"/>
    <w:rsid w:val="00E40455"/>
    <w:rsid w:val="00E40554"/>
    <w:rsid w:val="00E40DC7"/>
    <w:rsid w:val="00E4105C"/>
    <w:rsid w:val="00E414D6"/>
    <w:rsid w:val="00E42035"/>
    <w:rsid w:val="00E42173"/>
    <w:rsid w:val="00E4226B"/>
    <w:rsid w:val="00E42274"/>
    <w:rsid w:val="00E4292A"/>
    <w:rsid w:val="00E42E90"/>
    <w:rsid w:val="00E430FC"/>
    <w:rsid w:val="00E43C35"/>
    <w:rsid w:val="00E454A7"/>
    <w:rsid w:val="00E45977"/>
    <w:rsid w:val="00E46758"/>
    <w:rsid w:val="00E467E6"/>
    <w:rsid w:val="00E47341"/>
    <w:rsid w:val="00E4746F"/>
    <w:rsid w:val="00E474CA"/>
    <w:rsid w:val="00E47B66"/>
    <w:rsid w:val="00E5036A"/>
    <w:rsid w:val="00E50AEA"/>
    <w:rsid w:val="00E50E33"/>
    <w:rsid w:val="00E512A9"/>
    <w:rsid w:val="00E51384"/>
    <w:rsid w:val="00E51F57"/>
    <w:rsid w:val="00E52410"/>
    <w:rsid w:val="00E52C37"/>
    <w:rsid w:val="00E532FF"/>
    <w:rsid w:val="00E533B3"/>
    <w:rsid w:val="00E535C5"/>
    <w:rsid w:val="00E53BAD"/>
    <w:rsid w:val="00E53D9F"/>
    <w:rsid w:val="00E548C4"/>
    <w:rsid w:val="00E54B29"/>
    <w:rsid w:val="00E5504B"/>
    <w:rsid w:val="00E559F6"/>
    <w:rsid w:val="00E55C1B"/>
    <w:rsid w:val="00E5612B"/>
    <w:rsid w:val="00E567B5"/>
    <w:rsid w:val="00E56B41"/>
    <w:rsid w:val="00E56ECC"/>
    <w:rsid w:val="00E574AE"/>
    <w:rsid w:val="00E57535"/>
    <w:rsid w:val="00E5790A"/>
    <w:rsid w:val="00E60588"/>
    <w:rsid w:val="00E60E91"/>
    <w:rsid w:val="00E614A2"/>
    <w:rsid w:val="00E618B1"/>
    <w:rsid w:val="00E61A97"/>
    <w:rsid w:val="00E61C1A"/>
    <w:rsid w:val="00E62550"/>
    <w:rsid w:val="00E62A30"/>
    <w:rsid w:val="00E62E51"/>
    <w:rsid w:val="00E63CD8"/>
    <w:rsid w:val="00E6483C"/>
    <w:rsid w:val="00E653BC"/>
    <w:rsid w:val="00E65C9B"/>
    <w:rsid w:val="00E6601B"/>
    <w:rsid w:val="00E6608F"/>
    <w:rsid w:val="00E6626F"/>
    <w:rsid w:val="00E672C3"/>
    <w:rsid w:val="00E679A4"/>
    <w:rsid w:val="00E7146B"/>
    <w:rsid w:val="00E7168F"/>
    <w:rsid w:val="00E719E3"/>
    <w:rsid w:val="00E71D17"/>
    <w:rsid w:val="00E71DFF"/>
    <w:rsid w:val="00E72246"/>
    <w:rsid w:val="00E72597"/>
    <w:rsid w:val="00E727B6"/>
    <w:rsid w:val="00E728B4"/>
    <w:rsid w:val="00E72D23"/>
    <w:rsid w:val="00E733E9"/>
    <w:rsid w:val="00E73F77"/>
    <w:rsid w:val="00E74375"/>
    <w:rsid w:val="00E75E01"/>
    <w:rsid w:val="00E75F8B"/>
    <w:rsid w:val="00E76B8F"/>
    <w:rsid w:val="00E775BA"/>
    <w:rsid w:val="00E77EE0"/>
    <w:rsid w:val="00E80359"/>
    <w:rsid w:val="00E82BD2"/>
    <w:rsid w:val="00E83186"/>
    <w:rsid w:val="00E8342F"/>
    <w:rsid w:val="00E83475"/>
    <w:rsid w:val="00E83E34"/>
    <w:rsid w:val="00E8402F"/>
    <w:rsid w:val="00E846A9"/>
    <w:rsid w:val="00E84D54"/>
    <w:rsid w:val="00E85491"/>
    <w:rsid w:val="00E855EE"/>
    <w:rsid w:val="00E856B7"/>
    <w:rsid w:val="00E85B9A"/>
    <w:rsid w:val="00E8641A"/>
    <w:rsid w:val="00E86760"/>
    <w:rsid w:val="00E8677F"/>
    <w:rsid w:val="00E86B2D"/>
    <w:rsid w:val="00E86BB2"/>
    <w:rsid w:val="00E86F3D"/>
    <w:rsid w:val="00E87B53"/>
    <w:rsid w:val="00E9057B"/>
    <w:rsid w:val="00E90A20"/>
    <w:rsid w:val="00E90A75"/>
    <w:rsid w:val="00E92228"/>
    <w:rsid w:val="00E923C4"/>
    <w:rsid w:val="00E93459"/>
    <w:rsid w:val="00E9416C"/>
    <w:rsid w:val="00E942C3"/>
    <w:rsid w:val="00E943CA"/>
    <w:rsid w:val="00E9453F"/>
    <w:rsid w:val="00E948C6"/>
    <w:rsid w:val="00E949BB"/>
    <w:rsid w:val="00E9549A"/>
    <w:rsid w:val="00E95632"/>
    <w:rsid w:val="00E956A1"/>
    <w:rsid w:val="00E957D8"/>
    <w:rsid w:val="00E95EDB"/>
    <w:rsid w:val="00E962B7"/>
    <w:rsid w:val="00E96984"/>
    <w:rsid w:val="00E96BBC"/>
    <w:rsid w:val="00EA0C5A"/>
    <w:rsid w:val="00EA0FB0"/>
    <w:rsid w:val="00EA1417"/>
    <w:rsid w:val="00EA143A"/>
    <w:rsid w:val="00EA150C"/>
    <w:rsid w:val="00EA15C7"/>
    <w:rsid w:val="00EA1734"/>
    <w:rsid w:val="00EA17AB"/>
    <w:rsid w:val="00EA1882"/>
    <w:rsid w:val="00EA232B"/>
    <w:rsid w:val="00EA3545"/>
    <w:rsid w:val="00EA3CA3"/>
    <w:rsid w:val="00EA3E63"/>
    <w:rsid w:val="00EA490B"/>
    <w:rsid w:val="00EA4D27"/>
    <w:rsid w:val="00EA540D"/>
    <w:rsid w:val="00EA5B16"/>
    <w:rsid w:val="00EA5DD6"/>
    <w:rsid w:val="00EA702C"/>
    <w:rsid w:val="00EA7A03"/>
    <w:rsid w:val="00EA7AC7"/>
    <w:rsid w:val="00EB058C"/>
    <w:rsid w:val="00EB1499"/>
    <w:rsid w:val="00EB21FD"/>
    <w:rsid w:val="00EB2849"/>
    <w:rsid w:val="00EB2BA6"/>
    <w:rsid w:val="00EB2C9A"/>
    <w:rsid w:val="00EB2D4A"/>
    <w:rsid w:val="00EB3449"/>
    <w:rsid w:val="00EB38F5"/>
    <w:rsid w:val="00EB3E51"/>
    <w:rsid w:val="00EB3EB7"/>
    <w:rsid w:val="00EB4304"/>
    <w:rsid w:val="00EB53E0"/>
    <w:rsid w:val="00EB5852"/>
    <w:rsid w:val="00EB597A"/>
    <w:rsid w:val="00EB60D0"/>
    <w:rsid w:val="00EB6623"/>
    <w:rsid w:val="00EB6885"/>
    <w:rsid w:val="00EB6A9F"/>
    <w:rsid w:val="00EB6F62"/>
    <w:rsid w:val="00EB71EB"/>
    <w:rsid w:val="00EB738B"/>
    <w:rsid w:val="00EC013B"/>
    <w:rsid w:val="00EC037B"/>
    <w:rsid w:val="00EC0648"/>
    <w:rsid w:val="00EC0943"/>
    <w:rsid w:val="00EC0BD7"/>
    <w:rsid w:val="00EC180D"/>
    <w:rsid w:val="00EC1867"/>
    <w:rsid w:val="00EC1CB8"/>
    <w:rsid w:val="00EC2784"/>
    <w:rsid w:val="00EC27BA"/>
    <w:rsid w:val="00EC35D1"/>
    <w:rsid w:val="00EC38E2"/>
    <w:rsid w:val="00EC3EBD"/>
    <w:rsid w:val="00EC3FED"/>
    <w:rsid w:val="00EC4276"/>
    <w:rsid w:val="00EC443F"/>
    <w:rsid w:val="00EC56F5"/>
    <w:rsid w:val="00EC5737"/>
    <w:rsid w:val="00EC5995"/>
    <w:rsid w:val="00EC6BF2"/>
    <w:rsid w:val="00EC745D"/>
    <w:rsid w:val="00EC7C81"/>
    <w:rsid w:val="00EC7E9A"/>
    <w:rsid w:val="00EC7F27"/>
    <w:rsid w:val="00ED0015"/>
    <w:rsid w:val="00ED0105"/>
    <w:rsid w:val="00ED034F"/>
    <w:rsid w:val="00ED088C"/>
    <w:rsid w:val="00ED285C"/>
    <w:rsid w:val="00ED2D82"/>
    <w:rsid w:val="00ED30F0"/>
    <w:rsid w:val="00ED3152"/>
    <w:rsid w:val="00ED3189"/>
    <w:rsid w:val="00ED36D8"/>
    <w:rsid w:val="00ED3A46"/>
    <w:rsid w:val="00ED4941"/>
    <w:rsid w:val="00ED49B0"/>
    <w:rsid w:val="00ED541D"/>
    <w:rsid w:val="00ED6431"/>
    <w:rsid w:val="00ED695E"/>
    <w:rsid w:val="00ED6D0F"/>
    <w:rsid w:val="00ED7005"/>
    <w:rsid w:val="00ED7205"/>
    <w:rsid w:val="00ED7A29"/>
    <w:rsid w:val="00ED7BAD"/>
    <w:rsid w:val="00EE00CE"/>
    <w:rsid w:val="00EE0321"/>
    <w:rsid w:val="00EE0761"/>
    <w:rsid w:val="00EE0C2A"/>
    <w:rsid w:val="00EE1667"/>
    <w:rsid w:val="00EE1804"/>
    <w:rsid w:val="00EE1F5B"/>
    <w:rsid w:val="00EE25A9"/>
    <w:rsid w:val="00EE2D70"/>
    <w:rsid w:val="00EE2E22"/>
    <w:rsid w:val="00EE4019"/>
    <w:rsid w:val="00EE489C"/>
    <w:rsid w:val="00EE4969"/>
    <w:rsid w:val="00EE4C04"/>
    <w:rsid w:val="00EE4D13"/>
    <w:rsid w:val="00EE4D2E"/>
    <w:rsid w:val="00EE5740"/>
    <w:rsid w:val="00EE5ABA"/>
    <w:rsid w:val="00EE5BD4"/>
    <w:rsid w:val="00EE610D"/>
    <w:rsid w:val="00EE6F75"/>
    <w:rsid w:val="00EE752C"/>
    <w:rsid w:val="00EE784D"/>
    <w:rsid w:val="00EE7C41"/>
    <w:rsid w:val="00EE7C48"/>
    <w:rsid w:val="00EF09A0"/>
    <w:rsid w:val="00EF0E48"/>
    <w:rsid w:val="00EF144A"/>
    <w:rsid w:val="00EF1A09"/>
    <w:rsid w:val="00EF1BEE"/>
    <w:rsid w:val="00EF2B03"/>
    <w:rsid w:val="00EF2D31"/>
    <w:rsid w:val="00EF30E2"/>
    <w:rsid w:val="00EF39A9"/>
    <w:rsid w:val="00EF4AD9"/>
    <w:rsid w:val="00EF4E71"/>
    <w:rsid w:val="00EF51E1"/>
    <w:rsid w:val="00EF5991"/>
    <w:rsid w:val="00EF5F24"/>
    <w:rsid w:val="00EF66D0"/>
    <w:rsid w:val="00EF6DB9"/>
    <w:rsid w:val="00EF7003"/>
    <w:rsid w:val="00EF7C1F"/>
    <w:rsid w:val="00F0002F"/>
    <w:rsid w:val="00F00409"/>
    <w:rsid w:val="00F00936"/>
    <w:rsid w:val="00F01CE2"/>
    <w:rsid w:val="00F01EDF"/>
    <w:rsid w:val="00F0202C"/>
    <w:rsid w:val="00F02157"/>
    <w:rsid w:val="00F021C5"/>
    <w:rsid w:val="00F0298C"/>
    <w:rsid w:val="00F02A50"/>
    <w:rsid w:val="00F031C7"/>
    <w:rsid w:val="00F03386"/>
    <w:rsid w:val="00F03626"/>
    <w:rsid w:val="00F03A4F"/>
    <w:rsid w:val="00F03B2B"/>
    <w:rsid w:val="00F03C31"/>
    <w:rsid w:val="00F04868"/>
    <w:rsid w:val="00F04B84"/>
    <w:rsid w:val="00F05050"/>
    <w:rsid w:val="00F05EC0"/>
    <w:rsid w:val="00F05FE9"/>
    <w:rsid w:val="00F0622D"/>
    <w:rsid w:val="00F0641F"/>
    <w:rsid w:val="00F07CD5"/>
    <w:rsid w:val="00F10090"/>
    <w:rsid w:val="00F1011A"/>
    <w:rsid w:val="00F1069D"/>
    <w:rsid w:val="00F1081B"/>
    <w:rsid w:val="00F109D8"/>
    <w:rsid w:val="00F10AA3"/>
    <w:rsid w:val="00F11861"/>
    <w:rsid w:val="00F122FA"/>
    <w:rsid w:val="00F1232D"/>
    <w:rsid w:val="00F1270C"/>
    <w:rsid w:val="00F12889"/>
    <w:rsid w:val="00F1357C"/>
    <w:rsid w:val="00F13C0D"/>
    <w:rsid w:val="00F13EC3"/>
    <w:rsid w:val="00F14214"/>
    <w:rsid w:val="00F14DAE"/>
    <w:rsid w:val="00F15423"/>
    <w:rsid w:val="00F15741"/>
    <w:rsid w:val="00F15C77"/>
    <w:rsid w:val="00F1652C"/>
    <w:rsid w:val="00F166D9"/>
    <w:rsid w:val="00F16759"/>
    <w:rsid w:val="00F17638"/>
    <w:rsid w:val="00F202DD"/>
    <w:rsid w:val="00F20A22"/>
    <w:rsid w:val="00F20ECA"/>
    <w:rsid w:val="00F2239A"/>
    <w:rsid w:val="00F22765"/>
    <w:rsid w:val="00F22982"/>
    <w:rsid w:val="00F22A52"/>
    <w:rsid w:val="00F2332D"/>
    <w:rsid w:val="00F23651"/>
    <w:rsid w:val="00F24C58"/>
    <w:rsid w:val="00F24DEF"/>
    <w:rsid w:val="00F25550"/>
    <w:rsid w:val="00F2563F"/>
    <w:rsid w:val="00F25C82"/>
    <w:rsid w:val="00F25DDB"/>
    <w:rsid w:val="00F26222"/>
    <w:rsid w:val="00F26C0F"/>
    <w:rsid w:val="00F26C67"/>
    <w:rsid w:val="00F274C3"/>
    <w:rsid w:val="00F27AE9"/>
    <w:rsid w:val="00F30358"/>
    <w:rsid w:val="00F309C6"/>
    <w:rsid w:val="00F30ABD"/>
    <w:rsid w:val="00F30FF8"/>
    <w:rsid w:val="00F31007"/>
    <w:rsid w:val="00F3132F"/>
    <w:rsid w:val="00F3143B"/>
    <w:rsid w:val="00F3228A"/>
    <w:rsid w:val="00F3286A"/>
    <w:rsid w:val="00F32EA5"/>
    <w:rsid w:val="00F33692"/>
    <w:rsid w:val="00F3375B"/>
    <w:rsid w:val="00F338EF"/>
    <w:rsid w:val="00F33A5F"/>
    <w:rsid w:val="00F33A9F"/>
    <w:rsid w:val="00F34FC2"/>
    <w:rsid w:val="00F35469"/>
    <w:rsid w:val="00F35B49"/>
    <w:rsid w:val="00F3630C"/>
    <w:rsid w:val="00F3647E"/>
    <w:rsid w:val="00F3738C"/>
    <w:rsid w:val="00F4099C"/>
    <w:rsid w:val="00F410F6"/>
    <w:rsid w:val="00F41263"/>
    <w:rsid w:val="00F4197D"/>
    <w:rsid w:val="00F429AD"/>
    <w:rsid w:val="00F42B8A"/>
    <w:rsid w:val="00F42D30"/>
    <w:rsid w:val="00F44BD9"/>
    <w:rsid w:val="00F44D22"/>
    <w:rsid w:val="00F456EB"/>
    <w:rsid w:val="00F46769"/>
    <w:rsid w:val="00F46F82"/>
    <w:rsid w:val="00F50EDE"/>
    <w:rsid w:val="00F515AB"/>
    <w:rsid w:val="00F5170C"/>
    <w:rsid w:val="00F51BEB"/>
    <w:rsid w:val="00F5217F"/>
    <w:rsid w:val="00F523B5"/>
    <w:rsid w:val="00F52567"/>
    <w:rsid w:val="00F529A5"/>
    <w:rsid w:val="00F52C0E"/>
    <w:rsid w:val="00F52DAB"/>
    <w:rsid w:val="00F5353A"/>
    <w:rsid w:val="00F538A8"/>
    <w:rsid w:val="00F53A5B"/>
    <w:rsid w:val="00F53FFA"/>
    <w:rsid w:val="00F54737"/>
    <w:rsid w:val="00F54B01"/>
    <w:rsid w:val="00F551D6"/>
    <w:rsid w:val="00F557F0"/>
    <w:rsid w:val="00F55E34"/>
    <w:rsid w:val="00F56B10"/>
    <w:rsid w:val="00F56D8C"/>
    <w:rsid w:val="00F57301"/>
    <w:rsid w:val="00F57731"/>
    <w:rsid w:val="00F5795D"/>
    <w:rsid w:val="00F609AA"/>
    <w:rsid w:val="00F6104C"/>
    <w:rsid w:val="00F6105C"/>
    <w:rsid w:val="00F61258"/>
    <w:rsid w:val="00F61F01"/>
    <w:rsid w:val="00F61FD7"/>
    <w:rsid w:val="00F622AE"/>
    <w:rsid w:val="00F62472"/>
    <w:rsid w:val="00F630F6"/>
    <w:rsid w:val="00F63235"/>
    <w:rsid w:val="00F6333B"/>
    <w:rsid w:val="00F6361F"/>
    <w:rsid w:val="00F6384D"/>
    <w:rsid w:val="00F639D6"/>
    <w:rsid w:val="00F640B2"/>
    <w:rsid w:val="00F66152"/>
    <w:rsid w:val="00F661F3"/>
    <w:rsid w:val="00F66664"/>
    <w:rsid w:val="00F67289"/>
    <w:rsid w:val="00F67686"/>
    <w:rsid w:val="00F677E3"/>
    <w:rsid w:val="00F702A8"/>
    <w:rsid w:val="00F70606"/>
    <w:rsid w:val="00F72C24"/>
    <w:rsid w:val="00F72DB3"/>
    <w:rsid w:val="00F738C5"/>
    <w:rsid w:val="00F74551"/>
    <w:rsid w:val="00F75A6E"/>
    <w:rsid w:val="00F76E47"/>
    <w:rsid w:val="00F771AA"/>
    <w:rsid w:val="00F773D9"/>
    <w:rsid w:val="00F77B95"/>
    <w:rsid w:val="00F800F2"/>
    <w:rsid w:val="00F801AF"/>
    <w:rsid w:val="00F8037F"/>
    <w:rsid w:val="00F81270"/>
    <w:rsid w:val="00F81B4F"/>
    <w:rsid w:val="00F81DFB"/>
    <w:rsid w:val="00F81EFF"/>
    <w:rsid w:val="00F822A7"/>
    <w:rsid w:val="00F82617"/>
    <w:rsid w:val="00F82EF0"/>
    <w:rsid w:val="00F82EFB"/>
    <w:rsid w:val="00F833A0"/>
    <w:rsid w:val="00F84298"/>
    <w:rsid w:val="00F852B3"/>
    <w:rsid w:val="00F859B3"/>
    <w:rsid w:val="00F860D2"/>
    <w:rsid w:val="00F863B5"/>
    <w:rsid w:val="00F863F3"/>
    <w:rsid w:val="00F87A4A"/>
    <w:rsid w:val="00F87B7A"/>
    <w:rsid w:val="00F87C89"/>
    <w:rsid w:val="00F90053"/>
    <w:rsid w:val="00F90432"/>
    <w:rsid w:val="00F908F5"/>
    <w:rsid w:val="00F90BC2"/>
    <w:rsid w:val="00F91ABD"/>
    <w:rsid w:val="00F91E3A"/>
    <w:rsid w:val="00F93ADA"/>
    <w:rsid w:val="00F93DDF"/>
    <w:rsid w:val="00F941F5"/>
    <w:rsid w:val="00F94BC7"/>
    <w:rsid w:val="00F94BE9"/>
    <w:rsid w:val="00F979FB"/>
    <w:rsid w:val="00FA01B8"/>
    <w:rsid w:val="00FA0523"/>
    <w:rsid w:val="00FA0594"/>
    <w:rsid w:val="00FA05EE"/>
    <w:rsid w:val="00FA0630"/>
    <w:rsid w:val="00FA0CDD"/>
    <w:rsid w:val="00FA108D"/>
    <w:rsid w:val="00FA1254"/>
    <w:rsid w:val="00FA208A"/>
    <w:rsid w:val="00FA251D"/>
    <w:rsid w:val="00FA2C67"/>
    <w:rsid w:val="00FA2D2D"/>
    <w:rsid w:val="00FA3006"/>
    <w:rsid w:val="00FA312F"/>
    <w:rsid w:val="00FA3207"/>
    <w:rsid w:val="00FA37A1"/>
    <w:rsid w:val="00FA3B1A"/>
    <w:rsid w:val="00FA3E7A"/>
    <w:rsid w:val="00FA3FB5"/>
    <w:rsid w:val="00FA4398"/>
    <w:rsid w:val="00FA484F"/>
    <w:rsid w:val="00FA534C"/>
    <w:rsid w:val="00FA5827"/>
    <w:rsid w:val="00FA59F2"/>
    <w:rsid w:val="00FA5AA0"/>
    <w:rsid w:val="00FA6248"/>
    <w:rsid w:val="00FA6981"/>
    <w:rsid w:val="00FA6E01"/>
    <w:rsid w:val="00FA7053"/>
    <w:rsid w:val="00FA743A"/>
    <w:rsid w:val="00FB0076"/>
    <w:rsid w:val="00FB0525"/>
    <w:rsid w:val="00FB0AD2"/>
    <w:rsid w:val="00FB0CA4"/>
    <w:rsid w:val="00FB0DEB"/>
    <w:rsid w:val="00FB0F9C"/>
    <w:rsid w:val="00FB19F0"/>
    <w:rsid w:val="00FB1D4F"/>
    <w:rsid w:val="00FB1DBA"/>
    <w:rsid w:val="00FB290C"/>
    <w:rsid w:val="00FB2BB9"/>
    <w:rsid w:val="00FB2EB2"/>
    <w:rsid w:val="00FB2EC3"/>
    <w:rsid w:val="00FB3376"/>
    <w:rsid w:val="00FB36AE"/>
    <w:rsid w:val="00FB36F0"/>
    <w:rsid w:val="00FB3BEF"/>
    <w:rsid w:val="00FB4BED"/>
    <w:rsid w:val="00FB4C9F"/>
    <w:rsid w:val="00FB4DB7"/>
    <w:rsid w:val="00FB4E97"/>
    <w:rsid w:val="00FB537E"/>
    <w:rsid w:val="00FB753E"/>
    <w:rsid w:val="00FC002E"/>
    <w:rsid w:val="00FC0107"/>
    <w:rsid w:val="00FC01AC"/>
    <w:rsid w:val="00FC0328"/>
    <w:rsid w:val="00FC039F"/>
    <w:rsid w:val="00FC07E8"/>
    <w:rsid w:val="00FC0919"/>
    <w:rsid w:val="00FC0ABD"/>
    <w:rsid w:val="00FC1556"/>
    <w:rsid w:val="00FC21F1"/>
    <w:rsid w:val="00FC2227"/>
    <w:rsid w:val="00FC243F"/>
    <w:rsid w:val="00FC2556"/>
    <w:rsid w:val="00FC255C"/>
    <w:rsid w:val="00FC26D6"/>
    <w:rsid w:val="00FC31D0"/>
    <w:rsid w:val="00FC3529"/>
    <w:rsid w:val="00FC3614"/>
    <w:rsid w:val="00FC3C7B"/>
    <w:rsid w:val="00FC3DA0"/>
    <w:rsid w:val="00FC3E1C"/>
    <w:rsid w:val="00FC4EF0"/>
    <w:rsid w:val="00FC4FF9"/>
    <w:rsid w:val="00FC51B9"/>
    <w:rsid w:val="00FC5213"/>
    <w:rsid w:val="00FC58E8"/>
    <w:rsid w:val="00FC59BC"/>
    <w:rsid w:val="00FC5B30"/>
    <w:rsid w:val="00FC5F7D"/>
    <w:rsid w:val="00FC5F82"/>
    <w:rsid w:val="00FC6031"/>
    <w:rsid w:val="00FC6581"/>
    <w:rsid w:val="00FC688C"/>
    <w:rsid w:val="00FC69E1"/>
    <w:rsid w:val="00FC6C3E"/>
    <w:rsid w:val="00FC6D4B"/>
    <w:rsid w:val="00FC7192"/>
    <w:rsid w:val="00FC74FB"/>
    <w:rsid w:val="00FC79C1"/>
    <w:rsid w:val="00FC7FA2"/>
    <w:rsid w:val="00FD0582"/>
    <w:rsid w:val="00FD069D"/>
    <w:rsid w:val="00FD0BD1"/>
    <w:rsid w:val="00FD0C46"/>
    <w:rsid w:val="00FD1063"/>
    <w:rsid w:val="00FD1C0F"/>
    <w:rsid w:val="00FD1E01"/>
    <w:rsid w:val="00FD26C4"/>
    <w:rsid w:val="00FD416C"/>
    <w:rsid w:val="00FD43EF"/>
    <w:rsid w:val="00FD46BA"/>
    <w:rsid w:val="00FD482C"/>
    <w:rsid w:val="00FD4E74"/>
    <w:rsid w:val="00FD5887"/>
    <w:rsid w:val="00FD5AA8"/>
    <w:rsid w:val="00FD5E92"/>
    <w:rsid w:val="00FD6220"/>
    <w:rsid w:val="00FD6350"/>
    <w:rsid w:val="00FD64E4"/>
    <w:rsid w:val="00FD7061"/>
    <w:rsid w:val="00FD755A"/>
    <w:rsid w:val="00FD7C2E"/>
    <w:rsid w:val="00FD7D06"/>
    <w:rsid w:val="00FE04B5"/>
    <w:rsid w:val="00FE0D1C"/>
    <w:rsid w:val="00FE0D51"/>
    <w:rsid w:val="00FE0FB9"/>
    <w:rsid w:val="00FE12A4"/>
    <w:rsid w:val="00FE172E"/>
    <w:rsid w:val="00FE2449"/>
    <w:rsid w:val="00FE2EFC"/>
    <w:rsid w:val="00FE3C2B"/>
    <w:rsid w:val="00FE3D90"/>
    <w:rsid w:val="00FE4126"/>
    <w:rsid w:val="00FE46DF"/>
    <w:rsid w:val="00FE4D8D"/>
    <w:rsid w:val="00FE4E67"/>
    <w:rsid w:val="00FE5300"/>
    <w:rsid w:val="00FE6054"/>
    <w:rsid w:val="00FE648C"/>
    <w:rsid w:val="00FE6895"/>
    <w:rsid w:val="00FE6BA9"/>
    <w:rsid w:val="00FE7A5C"/>
    <w:rsid w:val="00FE7DF7"/>
    <w:rsid w:val="00FF02F1"/>
    <w:rsid w:val="00FF03A0"/>
    <w:rsid w:val="00FF0586"/>
    <w:rsid w:val="00FF0695"/>
    <w:rsid w:val="00FF06F3"/>
    <w:rsid w:val="00FF0B6B"/>
    <w:rsid w:val="00FF10E7"/>
    <w:rsid w:val="00FF141B"/>
    <w:rsid w:val="00FF1975"/>
    <w:rsid w:val="00FF1B60"/>
    <w:rsid w:val="00FF1BF9"/>
    <w:rsid w:val="00FF22B0"/>
    <w:rsid w:val="00FF3C28"/>
    <w:rsid w:val="00FF3CBB"/>
    <w:rsid w:val="00FF4201"/>
    <w:rsid w:val="00FF48CD"/>
    <w:rsid w:val="00FF50E6"/>
    <w:rsid w:val="00FF5D98"/>
    <w:rsid w:val="00FF5F41"/>
    <w:rsid w:val="00FF73FD"/>
    <w:rsid w:val="00FF7E01"/>
    <w:rsid w:val="00FF7FD9"/>
    <w:rsid w:val="01026B12"/>
    <w:rsid w:val="016F1C73"/>
    <w:rsid w:val="018E3E9D"/>
    <w:rsid w:val="01B3429E"/>
    <w:rsid w:val="02214F50"/>
    <w:rsid w:val="025F24DD"/>
    <w:rsid w:val="0266E194"/>
    <w:rsid w:val="026C20E3"/>
    <w:rsid w:val="026D5582"/>
    <w:rsid w:val="02FCA23D"/>
    <w:rsid w:val="0334FC74"/>
    <w:rsid w:val="04B8419F"/>
    <w:rsid w:val="04FAA5AE"/>
    <w:rsid w:val="0534B7D6"/>
    <w:rsid w:val="05C2984E"/>
    <w:rsid w:val="05F62773"/>
    <w:rsid w:val="074E3A00"/>
    <w:rsid w:val="07E20414"/>
    <w:rsid w:val="086EDE12"/>
    <w:rsid w:val="0938E282"/>
    <w:rsid w:val="09B06263"/>
    <w:rsid w:val="0A39C4F9"/>
    <w:rsid w:val="0A452FF0"/>
    <w:rsid w:val="0A96C248"/>
    <w:rsid w:val="0A9E3D36"/>
    <w:rsid w:val="0C7981A9"/>
    <w:rsid w:val="0CAC09A8"/>
    <w:rsid w:val="0D5868FE"/>
    <w:rsid w:val="0E0D66A2"/>
    <w:rsid w:val="0EAB437D"/>
    <w:rsid w:val="0F092B12"/>
    <w:rsid w:val="12EEE3A1"/>
    <w:rsid w:val="13349585"/>
    <w:rsid w:val="13B84D02"/>
    <w:rsid w:val="13E11D52"/>
    <w:rsid w:val="13F0C659"/>
    <w:rsid w:val="142CC16B"/>
    <w:rsid w:val="147B1703"/>
    <w:rsid w:val="148A06BE"/>
    <w:rsid w:val="15A9107B"/>
    <w:rsid w:val="15FA4A99"/>
    <w:rsid w:val="16DE6216"/>
    <w:rsid w:val="18244EC0"/>
    <w:rsid w:val="183CA1B3"/>
    <w:rsid w:val="18FCF952"/>
    <w:rsid w:val="1A008D77"/>
    <w:rsid w:val="1A04EA99"/>
    <w:rsid w:val="1A1CE99F"/>
    <w:rsid w:val="1B19721E"/>
    <w:rsid w:val="1BA3EA7E"/>
    <w:rsid w:val="1C227715"/>
    <w:rsid w:val="1C9C9C67"/>
    <w:rsid w:val="1CE1CC06"/>
    <w:rsid w:val="1D906797"/>
    <w:rsid w:val="1DDD242C"/>
    <w:rsid w:val="1E592F28"/>
    <w:rsid w:val="1EC3BB42"/>
    <w:rsid w:val="1F4A3503"/>
    <w:rsid w:val="1F8F81E7"/>
    <w:rsid w:val="1FF5003F"/>
    <w:rsid w:val="20618CA1"/>
    <w:rsid w:val="20E9BA3B"/>
    <w:rsid w:val="216D6A0A"/>
    <w:rsid w:val="21DEEE9D"/>
    <w:rsid w:val="222DB12F"/>
    <w:rsid w:val="225531B6"/>
    <w:rsid w:val="2271DCC9"/>
    <w:rsid w:val="229EACAB"/>
    <w:rsid w:val="24D57D45"/>
    <w:rsid w:val="25ECA879"/>
    <w:rsid w:val="261336DF"/>
    <w:rsid w:val="26320A1A"/>
    <w:rsid w:val="26497122"/>
    <w:rsid w:val="26C76CEE"/>
    <w:rsid w:val="28C6FAB6"/>
    <w:rsid w:val="2AD851D8"/>
    <w:rsid w:val="2AFE8E68"/>
    <w:rsid w:val="2BD485B6"/>
    <w:rsid w:val="2C2779B3"/>
    <w:rsid w:val="2C4F32FD"/>
    <w:rsid w:val="2C9E24E0"/>
    <w:rsid w:val="2D024A2E"/>
    <w:rsid w:val="2D73B72B"/>
    <w:rsid w:val="2FC5A3D3"/>
    <w:rsid w:val="2FD1D011"/>
    <w:rsid w:val="2FDA2CD6"/>
    <w:rsid w:val="3068379C"/>
    <w:rsid w:val="30712502"/>
    <w:rsid w:val="3092D79A"/>
    <w:rsid w:val="318CBABE"/>
    <w:rsid w:val="31B93885"/>
    <w:rsid w:val="3299A7F4"/>
    <w:rsid w:val="3348AA63"/>
    <w:rsid w:val="345721D4"/>
    <w:rsid w:val="353FCCD5"/>
    <w:rsid w:val="356169AF"/>
    <w:rsid w:val="36400E2C"/>
    <w:rsid w:val="364708C3"/>
    <w:rsid w:val="365C7C62"/>
    <w:rsid w:val="36746EE2"/>
    <w:rsid w:val="367C7654"/>
    <w:rsid w:val="36BA4ED5"/>
    <w:rsid w:val="37A1FD48"/>
    <w:rsid w:val="381F843A"/>
    <w:rsid w:val="384E9E13"/>
    <w:rsid w:val="38D88F6F"/>
    <w:rsid w:val="397CBE16"/>
    <w:rsid w:val="3B1426BD"/>
    <w:rsid w:val="3CD323CE"/>
    <w:rsid w:val="3CF05D6A"/>
    <w:rsid w:val="3E7F0853"/>
    <w:rsid w:val="3EB654F9"/>
    <w:rsid w:val="3F32D7B9"/>
    <w:rsid w:val="3FE521D3"/>
    <w:rsid w:val="4086A5D7"/>
    <w:rsid w:val="40A22D4D"/>
    <w:rsid w:val="40BA8A3F"/>
    <w:rsid w:val="410DE09B"/>
    <w:rsid w:val="414E5C33"/>
    <w:rsid w:val="41D6A092"/>
    <w:rsid w:val="4244AFA8"/>
    <w:rsid w:val="437212B1"/>
    <w:rsid w:val="44500584"/>
    <w:rsid w:val="4453BE35"/>
    <w:rsid w:val="465D7D40"/>
    <w:rsid w:val="47026F13"/>
    <w:rsid w:val="4840712E"/>
    <w:rsid w:val="486B7B5B"/>
    <w:rsid w:val="48FD4CEB"/>
    <w:rsid w:val="4994868A"/>
    <w:rsid w:val="4A3437A5"/>
    <w:rsid w:val="4A82BCD1"/>
    <w:rsid w:val="4B9DB15A"/>
    <w:rsid w:val="4CE51025"/>
    <w:rsid w:val="4D12CCA0"/>
    <w:rsid w:val="4D449B55"/>
    <w:rsid w:val="4D4CC9BF"/>
    <w:rsid w:val="4D861C25"/>
    <w:rsid w:val="4E5688A2"/>
    <w:rsid w:val="4F60F1F6"/>
    <w:rsid w:val="502F93EB"/>
    <w:rsid w:val="50E8C757"/>
    <w:rsid w:val="513C149A"/>
    <w:rsid w:val="51430060"/>
    <w:rsid w:val="518C1B22"/>
    <w:rsid w:val="51A59FEC"/>
    <w:rsid w:val="5280B366"/>
    <w:rsid w:val="53718877"/>
    <w:rsid w:val="53C87B7E"/>
    <w:rsid w:val="546C93F7"/>
    <w:rsid w:val="54780975"/>
    <w:rsid w:val="54A938CF"/>
    <w:rsid w:val="54EB1BBE"/>
    <w:rsid w:val="562CED6B"/>
    <w:rsid w:val="57F1162B"/>
    <w:rsid w:val="58253FC9"/>
    <w:rsid w:val="587FCA4E"/>
    <w:rsid w:val="5884E2B6"/>
    <w:rsid w:val="58963C38"/>
    <w:rsid w:val="5992665B"/>
    <w:rsid w:val="59976C8B"/>
    <w:rsid w:val="59A41F98"/>
    <w:rsid w:val="5A334D94"/>
    <w:rsid w:val="5B4753B3"/>
    <w:rsid w:val="5B9E7A27"/>
    <w:rsid w:val="5BC35A3E"/>
    <w:rsid w:val="5C242FC6"/>
    <w:rsid w:val="5D8277CC"/>
    <w:rsid w:val="5E7C20D8"/>
    <w:rsid w:val="5E92E642"/>
    <w:rsid w:val="5ED48A09"/>
    <w:rsid w:val="5F1D7EC6"/>
    <w:rsid w:val="600C5301"/>
    <w:rsid w:val="605FB54A"/>
    <w:rsid w:val="60767704"/>
    <w:rsid w:val="607703B2"/>
    <w:rsid w:val="60C7C7D3"/>
    <w:rsid w:val="610AAD75"/>
    <w:rsid w:val="612238AD"/>
    <w:rsid w:val="61526F95"/>
    <w:rsid w:val="618771A5"/>
    <w:rsid w:val="6219F251"/>
    <w:rsid w:val="627EEC7D"/>
    <w:rsid w:val="63546371"/>
    <w:rsid w:val="645112A8"/>
    <w:rsid w:val="661AAD05"/>
    <w:rsid w:val="66B5A3B5"/>
    <w:rsid w:val="6807B940"/>
    <w:rsid w:val="683AA302"/>
    <w:rsid w:val="68476CF0"/>
    <w:rsid w:val="68C32E9C"/>
    <w:rsid w:val="6914DEE9"/>
    <w:rsid w:val="696BBE52"/>
    <w:rsid w:val="6A5BE96D"/>
    <w:rsid w:val="6AF463D8"/>
    <w:rsid w:val="6BB69996"/>
    <w:rsid w:val="6C7C8AF2"/>
    <w:rsid w:val="6D16002D"/>
    <w:rsid w:val="6D3B179F"/>
    <w:rsid w:val="6D446830"/>
    <w:rsid w:val="6D7583C2"/>
    <w:rsid w:val="6F0E9E09"/>
    <w:rsid w:val="6F1CA667"/>
    <w:rsid w:val="6FC5FAC6"/>
    <w:rsid w:val="70550BD3"/>
    <w:rsid w:val="706BBD5D"/>
    <w:rsid w:val="708ED220"/>
    <w:rsid w:val="7128CBE5"/>
    <w:rsid w:val="720F0F27"/>
    <w:rsid w:val="721EAFEC"/>
    <w:rsid w:val="7350EF46"/>
    <w:rsid w:val="7386C8AB"/>
    <w:rsid w:val="739560F5"/>
    <w:rsid w:val="73DBD282"/>
    <w:rsid w:val="740F1DF3"/>
    <w:rsid w:val="7587DEFD"/>
    <w:rsid w:val="781B1610"/>
    <w:rsid w:val="7842BA3D"/>
    <w:rsid w:val="7857BD89"/>
    <w:rsid w:val="78600EAA"/>
    <w:rsid w:val="786853DC"/>
    <w:rsid w:val="79BF58D5"/>
    <w:rsid w:val="7A4420CF"/>
    <w:rsid w:val="7A7A869F"/>
    <w:rsid w:val="7ADC0891"/>
    <w:rsid w:val="7C603E80"/>
    <w:rsid w:val="7CFCE1A4"/>
    <w:rsid w:val="7E3A663E"/>
    <w:rsid w:val="7E51AAC4"/>
    <w:rsid w:val="7EEDB96D"/>
    <w:rsid w:val="7EF4C13A"/>
    <w:rsid w:val="7F3BFD99"/>
    <w:rsid w:val="7F605B81"/>
    <w:rsid w:val="7FB30EEB"/>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410A52"/>
  <w15:docId w15:val="{82330392-601C-412E-8662-0764BC1BE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0CA4"/>
    <w:pPr>
      <w:spacing w:after="0" w:line="240" w:lineRule="auto"/>
    </w:pPr>
    <w:rPr>
      <w:rFonts w:ascii="Times New Roman" w:eastAsia="Times New Roman" w:hAnsi="Times New Roman" w:cs="Times New Roman"/>
      <w:sz w:val="24"/>
      <w:szCs w:val="24"/>
      <w:lang w:val="fr-FR" w:eastAsia="fr-FR"/>
    </w:rPr>
  </w:style>
  <w:style w:type="paragraph" w:styleId="1">
    <w:name w:val="heading 1"/>
    <w:basedOn w:val="a"/>
    <w:next w:val="a"/>
    <w:link w:val="10"/>
    <w:uiPriority w:val="9"/>
    <w:qFormat/>
    <w:rsid w:val="00144C43"/>
    <w:pPr>
      <w:keepNext/>
      <w:keepLines/>
      <w:numPr>
        <w:numId w:val="17"/>
      </w:numPr>
      <w:spacing w:before="240" w:after="240" w:line="360" w:lineRule="auto"/>
      <w:outlineLvl w:val="0"/>
    </w:pPr>
    <w:rPr>
      <w:rFonts w:eastAsiaTheme="majorEastAsia" w:cstheme="majorBidi"/>
      <w:b/>
      <w:smallCaps/>
      <w:sz w:val="26"/>
      <w:szCs w:val="32"/>
    </w:rPr>
  </w:style>
  <w:style w:type="paragraph" w:styleId="2">
    <w:name w:val="heading 2"/>
    <w:basedOn w:val="a"/>
    <w:next w:val="a"/>
    <w:link w:val="20"/>
    <w:uiPriority w:val="9"/>
    <w:unhideWhenUsed/>
    <w:qFormat/>
    <w:rsid w:val="006A0696"/>
    <w:pPr>
      <w:keepNext/>
      <w:keepLines/>
      <w:spacing w:before="120" w:after="240" w:line="360" w:lineRule="auto"/>
      <w:outlineLvl w:val="1"/>
    </w:pPr>
    <w:rPr>
      <w:rFonts w:eastAsiaTheme="majorEastAsia" w:cstheme="majorBidi"/>
      <w:b/>
      <w:smallCaps/>
      <w:sz w:val="26"/>
      <w:szCs w:val="26"/>
    </w:rPr>
  </w:style>
  <w:style w:type="paragraph" w:styleId="3">
    <w:name w:val="heading 3"/>
    <w:basedOn w:val="a"/>
    <w:next w:val="a"/>
    <w:link w:val="30"/>
    <w:uiPriority w:val="9"/>
    <w:unhideWhenUsed/>
    <w:qFormat/>
    <w:rsid w:val="00C26DB5"/>
    <w:pPr>
      <w:keepNext/>
      <w:keepLines/>
      <w:spacing w:before="120" w:after="240" w:line="360" w:lineRule="auto"/>
      <w:jc w:val="both"/>
      <w:outlineLvl w:val="2"/>
    </w:pPr>
    <w:rPr>
      <w:rFonts w:eastAsiaTheme="majorEastAsia" w:cstheme="majorBidi"/>
      <w:b/>
      <w:sz w:val="26"/>
    </w:rPr>
  </w:style>
  <w:style w:type="paragraph" w:styleId="4">
    <w:name w:val="heading 4"/>
    <w:basedOn w:val="a"/>
    <w:next w:val="a"/>
    <w:link w:val="40"/>
    <w:uiPriority w:val="9"/>
    <w:unhideWhenUsed/>
    <w:qFormat/>
    <w:rsid w:val="00C26DB5"/>
    <w:pPr>
      <w:keepNext/>
      <w:keepLines/>
      <w:spacing w:before="40" w:after="240" w:line="360" w:lineRule="auto"/>
      <w:outlineLvl w:val="3"/>
    </w:pPr>
    <w:rPr>
      <w:rFonts w:eastAsiaTheme="majorEastAsia" w:cstheme="majorBidi"/>
      <w:i/>
      <w:iCs/>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bered"/>
    <w:basedOn w:val="a"/>
    <w:link w:val="a4"/>
    <w:uiPriority w:val="34"/>
    <w:qFormat/>
    <w:rsid w:val="00771FF1"/>
    <w:pPr>
      <w:ind w:left="720"/>
      <w:contextualSpacing/>
      <w:jc w:val="both"/>
    </w:pPr>
    <w:rPr>
      <w:sz w:val="26"/>
    </w:rPr>
  </w:style>
  <w:style w:type="paragraph" w:styleId="a5">
    <w:name w:val="header"/>
    <w:basedOn w:val="a"/>
    <w:link w:val="a6"/>
    <w:uiPriority w:val="99"/>
    <w:unhideWhenUsed/>
    <w:rsid w:val="00C42A92"/>
    <w:pPr>
      <w:tabs>
        <w:tab w:val="center" w:pos="4680"/>
        <w:tab w:val="right" w:pos="9360"/>
      </w:tabs>
    </w:pPr>
  </w:style>
  <w:style w:type="character" w:customStyle="1" w:styleId="a6">
    <w:name w:val="Верхній колонтитул Знак"/>
    <w:basedOn w:val="a0"/>
    <w:link w:val="a5"/>
    <w:uiPriority w:val="99"/>
    <w:rsid w:val="00C42A92"/>
    <w:rPr>
      <w:rFonts w:ascii="Times New Roman" w:eastAsia="Times New Roman" w:hAnsi="Times New Roman" w:cs="Times New Roman"/>
      <w:sz w:val="24"/>
      <w:szCs w:val="24"/>
      <w:lang w:val="ru-RU" w:eastAsia="ru-RU"/>
    </w:rPr>
  </w:style>
  <w:style w:type="paragraph" w:styleId="a7">
    <w:name w:val="footer"/>
    <w:basedOn w:val="a"/>
    <w:link w:val="a8"/>
    <w:uiPriority w:val="99"/>
    <w:unhideWhenUsed/>
    <w:rsid w:val="00C42A92"/>
    <w:pPr>
      <w:tabs>
        <w:tab w:val="center" w:pos="4680"/>
        <w:tab w:val="right" w:pos="9360"/>
      </w:tabs>
    </w:pPr>
  </w:style>
  <w:style w:type="character" w:customStyle="1" w:styleId="a8">
    <w:name w:val="Нижній колонтитул Знак"/>
    <w:basedOn w:val="a0"/>
    <w:link w:val="a7"/>
    <w:uiPriority w:val="99"/>
    <w:rsid w:val="00C42A92"/>
    <w:rPr>
      <w:rFonts w:ascii="Times New Roman" w:eastAsia="Times New Roman" w:hAnsi="Times New Roman" w:cs="Times New Roman"/>
      <w:sz w:val="24"/>
      <w:szCs w:val="24"/>
      <w:lang w:val="ru-RU" w:eastAsia="ru-RU"/>
    </w:rPr>
  </w:style>
  <w:style w:type="character" w:styleId="a9">
    <w:name w:val="annotation reference"/>
    <w:basedOn w:val="a0"/>
    <w:uiPriority w:val="99"/>
    <w:semiHidden/>
    <w:unhideWhenUsed/>
    <w:rsid w:val="004360AE"/>
    <w:rPr>
      <w:sz w:val="18"/>
      <w:szCs w:val="18"/>
    </w:rPr>
  </w:style>
  <w:style w:type="paragraph" w:styleId="aa">
    <w:name w:val="annotation text"/>
    <w:basedOn w:val="a"/>
    <w:link w:val="ab"/>
    <w:uiPriority w:val="99"/>
    <w:unhideWhenUsed/>
    <w:rsid w:val="004360AE"/>
  </w:style>
  <w:style w:type="character" w:customStyle="1" w:styleId="ab">
    <w:name w:val="Текст примітки Знак"/>
    <w:basedOn w:val="a0"/>
    <w:link w:val="aa"/>
    <w:uiPriority w:val="99"/>
    <w:rsid w:val="004360AE"/>
    <w:rPr>
      <w:rFonts w:ascii="Times New Roman" w:eastAsia="Times New Roman" w:hAnsi="Times New Roman" w:cs="Times New Roman"/>
      <w:sz w:val="24"/>
      <w:szCs w:val="24"/>
      <w:lang w:val="ru-RU" w:eastAsia="ru-RU"/>
    </w:rPr>
  </w:style>
  <w:style w:type="paragraph" w:styleId="ac">
    <w:name w:val="annotation subject"/>
    <w:basedOn w:val="aa"/>
    <w:next w:val="aa"/>
    <w:link w:val="ad"/>
    <w:uiPriority w:val="99"/>
    <w:semiHidden/>
    <w:unhideWhenUsed/>
    <w:rsid w:val="004360AE"/>
    <w:rPr>
      <w:b/>
      <w:bCs/>
      <w:sz w:val="20"/>
      <w:szCs w:val="20"/>
    </w:rPr>
  </w:style>
  <w:style w:type="character" w:customStyle="1" w:styleId="ad">
    <w:name w:val="Тема примітки Знак"/>
    <w:basedOn w:val="ab"/>
    <w:link w:val="ac"/>
    <w:uiPriority w:val="99"/>
    <w:semiHidden/>
    <w:rsid w:val="004360AE"/>
    <w:rPr>
      <w:rFonts w:ascii="Times New Roman" w:eastAsia="Times New Roman" w:hAnsi="Times New Roman" w:cs="Times New Roman"/>
      <w:b/>
      <w:bCs/>
      <w:sz w:val="20"/>
      <w:szCs w:val="20"/>
      <w:lang w:val="ru-RU" w:eastAsia="ru-RU"/>
    </w:rPr>
  </w:style>
  <w:style w:type="paragraph" w:styleId="ae">
    <w:name w:val="Balloon Text"/>
    <w:basedOn w:val="a"/>
    <w:link w:val="af"/>
    <w:uiPriority w:val="99"/>
    <w:semiHidden/>
    <w:unhideWhenUsed/>
    <w:rsid w:val="004360AE"/>
    <w:rPr>
      <w:sz w:val="18"/>
      <w:szCs w:val="18"/>
    </w:rPr>
  </w:style>
  <w:style w:type="character" w:customStyle="1" w:styleId="af">
    <w:name w:val="Текст у виносці Знак"/>
    <w:basedOn w:val="a0"/>
    <w:link w:val="ae"/>
    <w:uiPriority w:val="99"/>
    <w:semiHidden/>
    <w:rsid w:val="004360AE"/>
    <w:rPr>
      <w:rFonts w:ascii="Times New Roman" w:eastAsia="Times New Roman" w:hAnsi="Times New Roman" w:cs="Times New Roman"/>
      <w:sz w:val="18"/>
      <w:szCs w:val="18"/>
      <w:lang w:val="ru-RU" w:eastAsia="ru-RU"/>
    </w:rPr>
  </w:style>
  <w:style w:type="paragraph" w:customStyle="1" w:styleId="Default">
    <w:name w:val="Default"/>
    <w:rsid w:val="00683FCF"/>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0">
    <w:name w:val="Revision"/>
    <w:hidden/>
    <w:uiPriority w:val="99"/>
    <w:semiHidden/>
    <w:rsid w:val="00983704"/>
    <w:pPr>
      <w:spacing w:after="0" w:line="240" w:lineRule="auto"/>
    </w:pPr>
  </w:style>
  <w:style w:type="character" w:customStyle="1" w:styleId="10">
    <w:name w:val="Заголовок 1 Знак"/>
    <w:basedOn w:val="a0"/>
    <w:link w:val="1"/>
    <w:uiPriority w:val="9"/>
    <w:rsid w:val="00144C43"/>
    <w:rPr>
      <w:rFonts w:ascii="Times New Roman" w:eastAsiaTheme="majorEastAsia" w:hAnsi="Times New Roman" w:cstheme="majorBidi"/>
      <w:b/>
      <w:smallCaps/>
      <w:sz w:val="26"/>
      <w:szCs w:val="32"/>
      <w:lang w:val="ru-RU" w:eastAsia="ru-RU"/>
    </w:rPr>
  </w:style>
  <w:style w:type="character" w:customStyle="1" w:styleId="20">
    <w:name w:val="Заголовок 2 Знак"/>
    <w:basedOn w:val="a0"/>
    <w:link w:val="2"/>
    <w:uiPriority w:val="9"/>
    <w:rsid w:val="006A0696"/>
    <w:rPr>
      <w:rFonts w:ascii="Times New Roman" w:eastAsiaTheme="majorEastAsia" w:hAnsi="Times New Roman" w:cstheme="majorBidi"/>
      <w:b/>
      <w:smallCaps/>
      <w:sz w:val="26"/>
      <w:szCs w:val="26"/>
      <w:lang w:val="fr-FR" w:eastAsia="fr-FR"/>
    </w:rPr>
  </w:style>
  <w:style w:type="paragraph" w:styleId="af1">
    <w:name w:val="TOC Heading"/>
    <w:basedOn w:val="1"/>
    <w:next w:val="a"/>
    <w:uiPriority w:val="39"/>
    <w:unhideWhenUsed/>
    <w:qFormat/>
    <w:rsid w:val="00F4099C"/>
    <w:pPr>
      <w:spacing w:before="480" w:line="276" w:lineRule="auto"/>
      <w:outlineLvl w:val="9"/>
    </w:pPr>
    <w:rPr>
      <w:b w:val="0"/>
      <w:bCs/>
      <w:sz w:val="28"/>
      <w:szCs w:val="28"/>
      <w:lang w:val="en-US"/>
    </w:rPr>
  </w:style>
  <w:style w:type="paragraph" w:styleId="11">
    <w:name w:val="toc 1"/>
    <w:basedOn w:val="a"/>
    <w:next w:val="a"/>
    <w:autoRedefine/>
    <w:uiPriority w:val="39"/>
    <w:unhideWhenUsed/>
    <w:rsid w:val="00270975"/>
    <w:pPr>
      <w:tabs>
        <w:tab w:val="left" w:pos="480"/>
        <w:tab w:val="right" w:leader="dot" w:pos="9062"/>
      </w:tabs>
    </w:pPr>
    <w:rPr>
      <w:rFonts w:asciiTheme="minorHAnsi" w:hAnsiTheme="minorHAnsi"/>
      <w:b/>
      <w:bCs/>
      <w:caps/>
      <w:sz w:val="20"/>
      <w:szCs w:val="20"/>
    </w:rPr>
  </w:style>
  <w:style w:type="paragraph" w:styleId="21">
    <w:name w:val="toc 2"/>
    <w:basedOn w:val="a"/>
    <w:next w:val="a"/>
    <w:autoRedefine/>
    <w:uiPriority w:val="39"/>
    <w:unhideWhenUsed/>
    <w:rsid w:val="009609A5"/>
    <w:pPr>
      <w:ind w:left="240"/>
    </w:pPr>
    <w:rPr>
      <w:rFonts w:asciiTheme="minorHAnsi" w:hAnsiTheme="minorHAnsi"/>
      <w:smallCaps/>
      <w:sz w:val="20"/>
      <w:szCs w:val="20"/>
    </w:rPr>
  </w:style>
  <w:style w:type="character" w:styleId="af2">
    <w:name w:val="Hyperlink"/>
    <w:aliases w:val="VBB Hyperlink"/>
    <w:basedOn w:val="a0"/>
    <w:uiPriority w:val="99"/>
    <w:unhideWhenUsed/>
    <w:qFormat/>
    <w:rsid w:val="00F4099C"/>
    <w:rPr>
      <w:color w:val="0563C1" w:themeColor="hyperlink"/>
      <w:u w:val="single"/>
    </w:rPr>
  </w:style>
  <w:style w:type="paragraph" w:styleId="31">
    <w:name w:val="toc 3"/>
    <w:basedOn w:val="a"/>
    <w:next w:val="a"/>
    <w:autoRedefine/>
    <w:uiPriority w:val="39"/>
    <w:unhideWhenUsed/>
    <w:rsid w:val="00F4099C"/>
    <w:pPr>
      <w:ind w:left="480"/>
    </w:pPr>
    <w:rPr>
      <w:rFonts w:asciiTheme="minorHAnsi" w:hAnsiTheme="minorHAnsi"/>
      <w:i/>
      <w:iCs/>
      <w:sz w:val="20"/>
      <w:szCs w:val="20"/>
    </w:rPr>
  </w:style>
  <w:style w:type="paragraph" w:styleId="41">
    <w:name w:val="toc 4"/>
    <w:basedOn w:val="a"/>
    <w:next w:val="a"/>
    <w:autoRedefine/>
    <w:uiPriority w:val="39"/>
    <w:unhideWhenUsed/>
    <w:rsid w:val="00F4099C"/>
    <w:pPr>
      <w:ind w:left="720"/>
    </w:pPr>
    <w:rPr>
      <w:rFonts w:asciiTheme="minorHAnsi" w:hAnsiTheme="minorHAnsi"/>
      <w:sz w:val="18"/>
      <w:szCs w:val="18"/>
    </w:rPr>
  </w:style>
  <w:style w:type="paragraph" w:styleId="5">
    <w:name w:val="toc 5"/>
    <w:basedOn w:val="a"/>
    <w:next w:val="a"/>
    <w:autoRedefine/>
    <w:uiPriority w:val="39"/>
    <w:unhideWhenUsed/>
    <w:rsid w:val="00F4099C"/>
    <w:pPr>
      <w:ind w:left="960"/>
    </w:pPr>
    <w:rPr>
      <w:rFonts w:asciiTheme="minorHAnsi" w:hAnsiTheme="minorHAnsi"/>
      <w:sz w:val="18"/>
      <w:szCs w:val="18"/>
    </w:rPr>
  </w:style>
  <w:style w:type="paragraph" w:styleId="6">
    <w:name w:val="toc 6"/>
    <w:basedOn w:val="a"/>
    <w:next w:val="a"/>
    <w:autoRedefine/>
    <w:uiPriority w:val="39"/>
    <w:unhideWhenUsed/>
    <w:rsid w:val="00F4099C"/>
    <w:pPr>
      <w:ind w:left="1200"/>
    </w:pPr>
    <w:rPr>
      <w:rFonts w:asciiTheme="minorHAnsi" w:hAnsiTheme="minorHAnsi"/>
      <w:sz w:val="18"/>
      <w:szCs w:val="18"/>
    </w:rPr>
  </w:style>
  <w:style w:type="paragraph" w:styleId="7">
    <w:name w:val="toc 7"/>
    <w:basedOn w:val="a"/>
    <w:next w:val="a"/>
    <w:autoRedefine/>
    <w:uiPriority w:val="39"/>
    <w:unhideWhenUsed/>
    <w:rsid w:val="00F4099C"/>
    <w:pPr>
      <w:ind w:left="1440"/>
    </w:pPr>
    <w:rPr>
      <w:rFonts w:asciiTheme="minorHAnsi" w:hAnsiTheme="minorHAnsi"/>
      <w:sz w:val="18"/>
      <w:szCs w:val="18"/>
    </w:rPr>
  </w:style>
  <w:style w:type="paragraph" w:styleId="8">
    <w:name w:val="toc 8"/>
    <w:basedOn w:val="a"/>
    <w:next w:val="a"/>
    <w:autoRedefine/>
    <w:uiPriority w:val="39"/>
    <w:unhideWhenUsed/>
    <w:rsid w:val="00F4099C"/>
    <w:pPr>
      <w:ind w:left="1680"/>
    </w:pPr>
    <w:rPr>
      <w:rFonts w:asciiTheme="minorHAnsi" w:hAnsiTheme="minorHAnsi"/>
      <w:sz w:val="18"/>
      <w:szCs w:val="18"/>
    </w:rPr>
  </w:style>
  <w:style w:type="paragraph" w:styleId="9">
    <w:name w:val="toc 9"/>
    <w:basedOn w:val="a"/>
    <w:next w:val="a"/>
    <w:autoRedefine/>
    <w:uiPriority w:val="39"/>
    <w:unhideWhenUsed/>
    <w:rsid w:val="00F4099C"/>
    <w:pPr>
      <w:ind w:left="1920"/>
    </w:pPr>
    <w:rPr>
      <w:rFonts w:asciiTheme="minorHAnsi" w:hAnsiTheme="minorHAnsi"/>
      <w:sz w:val="18"/>
      <w:szCs w:val="18"/>
    </w:rPr>
  </w:style>
  <w:style w:type="paragraph" w:styleId="af3">
    <w:name w:val="Normal (Web)"/>
    <w:basedOn w:val="a"/>
    <w:uiPriority w:val="99"/>
    <w:unhideWhenUsed/>
    <w:rsid w:val="00D63911"/>
    <w:pPr>
      <w:spacing w:before="100" w:beforeAutospacing="1" w:after="100" w:afterAutospacing="1"/>
    </w:pPr>
  </w:style>
  <w:style w:type="paragraph" w:styleId="af4">
    <w:name w:val="footnote text"/>
    <w:basedOn w:val="a"/>
    <w:link w:val="af5"/>
    <w:uiPriority w:val="99"/>
    <w:unhideWhenUsed/>
    <w:qFormat/>
    <w:rsid w:val="00274DC2"/>
    <w:pPr>
      <w:jc w:val="both"/>
    </w:pPr>
    <w:rPr>
      <w:rFonts w:ascii="Arial" w:hAnsi="Arial"/>
      <w:sz w:val="20"/>
      <w:szCs w:val="20"/>
      <w:lang w:val="en-GB"/>
    </w:rPr>
  </w:style>
  <w:style w:type="character" w:customStyle="1" w:styleId="af5">
    <w:name w:val="Текст виноски Знак"/>
    <w:basedOn w:val="a0"/>
    <w:link w:val="af4"/>
    <w:uiPriority w:val="99"/>
    <w:qFormat/>
    <w:rsid w:val="00274DC2"/>
    <w:rPr>
      <w:rFonts w:ascii="Arial" w:eastAsia="Times New Roman" w:hAnsi="Arial" w:cs="Times New Roman"/>
      <w:sz w:val="20"/>
      <w:szCs w:val="20"/>
      <w:lang w:val="en-GB" w:eastAsia="ru-RU"/>
    </w:rPr>
  </w:style>
  <w:style w:type="character" w:styleId="af6">
    <w:name w:val="footnote reference"/>
    <w:aliases w:val="de nota al pie,Ref,註腳內容,de nota al pie + (Asian) MS Mincho,11 pt,Footnote Reference1,Ref1,de nota al pie1,Footnote,Footnote symbol,Footnote number,4_GR,4_G,-E Fußnotenzeichen,註?腳Ò®é»,11 p,註?腳內—e,????,16 Point,Superscript 6 Point"/>
    <w:basedOn w:val="a0"/>
    <w:uiPriority w:val="99"/>
    <w:unhideWhenUsed/>
    <w:qFormat/>
    <w:rsid w:val="00274DC2"/>
    <w:rPr>
      <w:vertAlign w:val="superscript"/>
    </w:rPr>
  </w:style>
  <w:style w:type="character" w:customStyle="1" w:styleId="tlid-translation">
    <w:name w:val="tlid-translation"/>
    <w:basedOn w:val="a0"/>
    <w:rsid w:val="002F1352"/>
  </w:style>
  <w:style w:type="character" w:customStyle="1" w:styleId="product-desc">
    <w:name w:val="product-desc"/>
    <w:basedOn w:val="a0"/>
    <w:rsid w:val="00D80D37"/>
  </w:style>
  <w:style w:type="paragraph" w:customStyle="1" w:styleId="VBBTitlepage">
    <w:name w:val="VBB Title page"/>
    <w:basedOn w:val="a"/>
    <w:rsid w:val="007C7921"/>
    <w:pPr>
      <w:spacing w:after="200" w:line="276" w:lineRule="auto"/>
      <w:jc w:val="center"/>
    </w:pPr>
    <w:rPr>
      <w:rFonts w:ascii="Arial" w:hAnsi="Arial"/>
      <w:szCs w:val="20"/>
      <w:lang w:val="en-GB"/>
    </w:rPr>
  </w:style>
  <w:style w:type="paragraph" w:customStyle="1" w:styleId="VBBToCHeading">
    <w:name w:val="VBB ToC Heading"/>
    <w:basedOn w:val="a"/>
    <w:next w:val="a"/>
    <w:qFormat/>
    <w:rsid w:val="007C7921"/>
    <w:pPr>
      <w:keepNext/>
      <w:spacing w:after="200" w:line="300" w:lineRule="atLeast"/>
      <w:jc w:val="center"/>
    </w:pPr>
    <w:rPr>
      <w:rFonts w:ascii="Arial" w:hAnsi="Arial" w:cs="Arial Bold"/>
      <w:b/>
      <w:caps/>
      <w:lang w:val="en-GB"/>
    </w:rPr>
  </w:style>
  <w:style w:type="paragraph" w:customStyle="1" w:styleId="Stylenumrot">
    <w:name w:val="Style numéroté"/>
    <w:basedOn w:val="a3"/>
    <w:qFormat/>
    <w:rsid w:val="005B49D5"/>
    <w:pPr>
      <w:tabs>
        <w:tab w:val="left" w:pos="1560"/>
      </w:tabs>
      <w:spacing w:after="200" w:line="276" w:lineRule="auto"/>
      <w:ind w:left="851"/>
      <w:contextualSpacing w:val="0"/>
    </w:pPr>
    <w:rPr>
      <w:lang w:val="en-GB"/>
    </w:rPr>
  </w:style>
  <w:style w:type="paragraph" w:customStyle="1" w:styleId="Citationsdansletexte">
    <w:name w:val="Citations dans le texte"/>
    <w:basedOn w:val="Stylenumrot"/>
    <w:qFormat/>
    <w:rsid w:val="005B49D5"/>
    <w:pPr>
      <w:ind w:left="2268"/>
    </w:pPr>
  </w:style>
  <w:style w:type="paragraph" w:customStyle="1" w:styleId="Styleavecpoint">
    <w:name w:val="Style avec point"/>
    <w:basedOn w:val="a3"/>
    <w:qFormat/>
    <w:rsid w:val="005B49D5"/>
    <w:pPr>
      <w:numPr>
        <w:numId w:val="9"/>
      </w:numPr>
      <w:spacing w:after="200" w:line="276" w:lineRule="auto"/>
      <w:ind w:left="1559" w:hanging="357"/>
      <w:contextualSpacing w:val="0"/>
    </w:pPr>
    <w:rPr>
      <w:lang w:val="en-GB"/>
    </w:rPr>
  </w:style>
  <w:style w:type="paragraph" w:customStyle="1" w:styleId="stylepourlesnoteslquipe">
    <w:name w:val="style pour les notes à l'équipe"/>
    <w:basedOn w:val="a"/>
    <w:qFormat/>
    <w:rsid w:val="005B49D5"/>
    <w:pPr>
      <w:pBdr>
        <w:top w:val="single" w:sz="8" w:space="1" w:color="auto"/>
        <w:left w:val="single" w:sz="8" w:space="4" w:color="auto"/>
        <w:bottom w:val="single" w:sz="8" w:space="1" w:color="auto"/>
        <w:right w:val="single" w:sz="8" w:space="4" w:color="auto"/>
      </w:pBdr>
      <w:spacing w:before="120" w:after="120"/>
      <w:ind w:left="2835"/>
      <w:jc w:val="both"/>
    </w:pPr>
    <w:rPr>
      <w:lang w:val="en-GB"/>
    </w:rPr>
  </w:style>
  <w:style w:type="table" w:styleId="af7">
    <w:name w:val="Table Grid"/>
    <w:aliases w:val="VBB Table Grid"/>
    <w:basedOn w:val="a1"/>
    <w:uiPriority w:val="59"/>
    <w:rsid w:val="00016B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8">
    <w:name w:val="FollowedHyperlink"/>
    <w:basedOn w:val="a0"/>
    <w:uiPriority w:val="99"/>
    <w:semiHidden/>
    <w:unhideWhenUsed/>
    <w:rsid w:val="00037980"/>
    <w:rPr>
      <w:color w:val="954F72" w:themeColor="followedHyperlink"/>
      <w:u w:val="single"/>
    </w:rPr>
  </w:style>
  <w:style w:type="character" w:customStyle="1" w:styleId="apple-converted-space">
    <w:name w:val="apple-converted-space"/>
    <w:basedOn w:val="a0"/>
    <w:rsid w:val="00A63D7F"/>
  </w:style>
  <w:style w:type="character" w:styleId="af9">
    <w:name w:val="Emphasis"/>
    <w:basedOn w:val="a0"/>
    <w:uiPriority w:val="20"/>
    <w:qFormat/>
    <w:rsid w:val="00A13626"/>
    <w:rPr>
      <w:i/>
      <w:iCs/>
    </w:rPr>
  </w:style>
  <w:style w:type="character" w:customStyle="1" w:styleId="12">
    <w:name w:val="Неразрешенное упоминание1"/>
    <w:basedOn w:val="a0"/>
    <w:uiPriority w:val="99"/>
    <w:rsid w:val="00DC335A"/>
    <w:rPr>
      <w:color w:val="605E5C"/>
      <w:shd w:val="clear" w:color="auto" w:fill="E1DFDD"/>
    </w:rPr>
  </w:style>
  <w:style w:type="paragraph" w:customStyle="1" w:styleId="paragraph">
    <w:name w:val="paragraph"/>
    <w:basedOn w:val="a"/>
    <w:rsid w:val="00D4764F"/>
    <w:pPr>
      <w:spacing w:before="100" w:beforeAutospacing="1" w:after="100" w:afterAutospacing="1"/>
    </w:pPr>
  </w:style>
  <w:style w:type="character" w:customStyle="1" w:styleId="normaltextrun">
    <w:name w:val="normaltextrun"/>
    <w:basedOn w:val="a0"/>
    <w:rsid w:val="00D4764F"/>
  </w:style>
  <w:style w:type="character" w:customStyle="1" w:styleId="eop">
    <w:name w:val="eop"/>
    <w:basedOn w:val="a0"/>
    <w:rsid w:val="00D4764F"/>
  </w:style>
  <w:style w:type="character" w:styleId="afa">
    <w:name w:val="page number"/>
    <w:basedOn w:val="a0"/>
    <w:uiPriority w:val="99"/>
    <w:semiHidden/>
    <w:unhideWhenUsed/>
    <w:rsid w:val="00612959"/>
  </w:style>
  <w:style w:type="table" w:customStyle="1" w:styleId="-11">
    <w:name w:val="Таблица-сетка 1 светлая1"/>
    <w:basedOn w:val="a1"/>
    <w:uiPriority w:val="46"/>
    <w:rsid w:val="00501C93"/>
    <w:pPr>
      <w:spacing w:after="0" w:line="240" w:lineRule="auto"/>
    </w:pPr>
    <w:rPr>
      <w:lang w:val="uk-U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0">
    <w:name w:val="Сітка таблиці 1 (світла)1"/>
    <w:basedOn w:val="a1"/>
    <w:uiPriority w:val="46"/>
    <w:rsid w:val="00A82BC3"/>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22">
    <w:name w:val="Неразрешенное упоминание2"/>
    <w:basedOn w:val="a0"/>
    <w:uiPriority w:val="99"/>
    <w:rsid w:val="00A82BC3"/>
    <w:rPr>
      <w:color w:val="605E5C"/>
      <w:shd w:val="clear" w:color="auto" w:fill="E1DFDD"/>
    </w:rPr>
  </w:style>
  <w:style w:type="character" w:customStyle="1" w:styleId="300000">
    <w:name w:val="Неразрешенное упоминание300000"/>
    <w:basedOn w:val="a0"/>
    <w:uiPriority w:val="99"/>
    <w:rsid w:val="004A0A5F"/>
    <w:rPr>
      <w:color w:val="605E5C"/>
      <w:shd w:val="clear" w:color="auto" w:fill="E1DFDD"/>
    </w:rPr>
  </w:style>
  <w:style w:type="character" w:customStyle="1" w:styleId="32">
    <w:name w:val="Неразрешенное упоминание3"/>
    <w:basedOn w:val="a0"/>
    <w:uiPriority w:val="99"/>
    <w:rsid w:val="008959DA"/>
    <w:rPr>
      <w:color w:val="605E5C"/>
      <w:shd w:val="clear" w:color="auto" w:fill="E1DFDD"/>
    </w:rPr>
  </w:style>
  <w:style w:type="paragraph" w:styleId="afb">
    <w:name w:val="Title"/>
    <w:basedOn w:val="a"/>
    <w:next w:val="a"/>
    <w:link w:val="afc"/>
    <w:uiPriority w:val="10"/>
    <w:qFormat/>
    <w:rsid w:val="00465FDC"/>
    <w:pPr>
      <w:spacing w:before="120" w:after="240" w:line="360" w:lineRule="auto"/>
      <w:jc w:val="center"/>
    </w:pPr>
    <w:rPr>
      <w:rFonts w:eastAsiaTheme="majorEastAsia" w:cstheme="majorBidi"/>
      <w:b/>
      <w:spacing w:val="-10"/>
      <w:kern w:val="28"/>
      <w:sz w:val="26"/>
      <w:szCs w:val="56"/>
    </w:rPr>
  </w:style>
  <w:style w:type="character" w:customStyle="1" w:styleId="afc">
    <w:name w:val="Назва Знак"/>
    <w:basedOn w:val="a0"/>
    <w:link w:val="afb"/>
    <w:uiPriority w:val="10"/>
    <w:rsid w:val="00465FDC"/>
    <w:rPr>
      <w:rFonts w:ascii="Times New Roman" w:eastAsiaTheme="majorEastAsia" w:hAnsi="Times New Roman" w:cstheme="majorBidi"/>
      <w:b/>
      <w:spacing w:val="-10"/>
      <w:kern w:val="28"/>
      <w:sz w:val="26"/>
      <w:szCs w:val="56"/>
      <w:lang w:val="ru-RU" w:eastAsia="ru-RU"/>
    </w:rPr>
  </w:style>
  <w:style w:type="character" w:customStyle="1" w:styleId="30">
    <w:name w:val="Заголовок 3 Знак"/>
    <w:basedOn w:val="a0"/>
    <w:link w:val="3"/>
    <w:uiPriority w:val="9"/>
    <w:rsid w:val="00C26DB5"/>
    <w:rPr>
      <w:rFonts w:ascii="Times New Roman" w:eastAsiaTheme="majorEastAsia" w:hAnsi="Times New Roman" w:cstheme="majorBidi"/>
      <w:b/>
      <w:sz w:val="26"/>
      <w:szCs w:val="24"/>
      <w:lang w:val="fr-FR" w:eastAsia="fr-FR"/>
    </w:rPr>
  </w:style>
  <w:style w:type="paragraph" w:styleId="afd">
    <w:name w:val="Subtitle"/>
    <w:basedOn w:val="a"/>
    <w:next w:val="a"/>
    <w:link w:val="afe"/>
    <w:uiPriority w:val="11"/>
    <w:qFormat/>
    <w:rsid w:val="00D61F9B"/>
    <w:pPr>
      <w:numPr>
        <w:ilvl w:val="1"/>
      </w:numPr>
      <w:spacing w:before="120" w:after="240"/>
      <w:jc w:val="both"/>
    </w:pPr>
    <w:rPr>
      <w:rFonts w:eastAsiaTheme="minorEastAsia" w:cstheme="minorBidi"/>
      <w:i/>
      <w:sz w:val="26"/>
      <w:szCs w:val="22"/>
    </w:rPr>
  </w:style>
  <w:style w:type="character" w:customStyle="1" w:styleId="afe">
    <w:name w:val="Підзаголовок Знак"/>
    <w:basedOn w:val="a0"/>
    <w:link w:val="afd"/>
    <w:uiPriority w:val="11"/>
    <w:rsid w:val="00D61F9B"/>
    <w:rPr>
      <w:rFonts w:ascii="Times New Roman" w:eastAsiaTheme="minorEastAsia" w:hAnsi="Times New Roman"/>
      <w:i/>
      <w:sz w:val="26"/>
      <w:lang w:val="ru-RU" w:eastAsia="ru-RU"/>
    </w:rPr>
  </w:style>
  <w:style w:type="character" w:customStyle="1" w:styleId="rvts0">
    <w:name w:val="rvts0"/>
    <w:basedOn w:val="a0"/>
    <w:rsid w:val="009932D2"/>
  </w:style>
  <w:style w:type="character" w:customStyle="1" w:styleId="st">
    <w:name w:val="st"/>
    <w:basedOn w:val="a0"/>
    <w:rsid w:val="00157A1E"/>
  </w:style>
  <w:style w:type="character" w:customStyle="1" w:styleId="a4">
    <w:name w:val="Абзац списку Знак"/>
    <w:aliases w:val="Numbered Знак"/>
    <w:basedOn w:val="a0"/>
    <w:link w:val="a3"/>
    <w:uiPriority w:val="34"/>
    <w:rsid w:val="008C0CEF"/>
    <w:rPr>
      <w:rFonts w:ascii="Times New Roman" w:eastAsia="Times New Roman" w:hAnsi="Times New Roman" w:cs="Times New Roman"/>
      <w:sz w:val="26"/>
      <w:szCs w:val="24"/>
      <w:lang w:val="ru-RU" w:eastAsia="ru-RU"/>
    </w:rPr>
  </w:style>
  <w:style w:type="paragraph" w:customStyle="1" w:styleId="Paragraphenumrot">
    <w:name w:val="Paragraphe numéroté"/>
    <w:basedOn w:val="a3"/>
    <w:qFormat/>
    <w:rsid w:val="008C0CEF"/>
    <w:pPr>
      <w:numPr>
        <w:numId w:val="23"/>
      </w:numPr>
      <w:spacing w:before="360" w:after="120" w:line="480" w:lineRule="auto"/>
      <w:ind w:hanging="720"/>
      <w:contextualSpacing w:val="0"/>
    </w:pPr>
    <w:rPr>
      <w:rFonts w:eastAsiaTheme="minorHAnsi"/>
      <w:bCs/>
      <w:sz w:val="24"/>
      <w:szCs w:val="22"/>
      <w:lang w:val="en-US" w:eastAsia="en-US"/>
    </w:rPr>
  </w:style>
  <w:style w:type="character" w:customStyle="1" w:styleId="none">
    <w:name w:val="none"/>
    <w:basedOn w:val="a0"/>
    <w:rsid w:val="005C14F7"/>
  </w:style>
  <w:style w:type="character" w:customStyle="1" w:styleId="rvts44">
    <w:name w:val="rvts44"/>
    <w:basedOn w:val="a0"/>
    <w:rsid w:val="00AE5D95"/>
  </w:style>
  <w:style w:type="character" w:customStyle="1" w:styleId="40">
    <w:name w:val="Заголовок 4 Знак"/>
    <w:basedOn w:val="a0"/>
    <w:link w:val="4"/>
    <w:uiPriority w:val="9"/>
    <w:rsid w:val="00C26DB5"/>
    <w:rPr>
      <w:rFonts w:ascii="Times New Roman" w:eastAsiaTheme="majorEastAsia" w:hAnsi="Times New Roman" w:cstheme="majorBidi"/>
      <w:i/>
      <w:iCs/>
      <w:sz w:val="26"/>
      <w:szCs w:val="24"/>
      <w:lang w:val="fr-FR" w:eastAsia="fr-FR"/>
    </w:rPr>
  </w:style>
  <w:style w:type="character" w:customStyle="1" w:styleId="300">
    <w:name w:val="Неразрешенное упоминание30"/>
    <w:basedOn w:val="a0"/>
    <w:uiPriority w:val="99"/>
    <w:rsid w:val="00DC7DF8"/>
    <w:rPr>
      <w:color w:val="605E5C"/>
      <w:shd w:val="clear" w:color="auto" w:fill="E1DFDD"/>
    </w:rPr>
  </w:style>
  <w:style w:type="character" w:customStyle="1" w:styleId="3000">
    <w:name w:val="Неразрешенное упоминание300"/>
    <w:basedOn w:val="a0"/>
    <w:uiPriority w:val="99"/>
    <w:rsid w:val="00DC7DF8"/>
    <w:rPr>
      <w:color w:val="605E5C"/>
      <w:shd w:val="clear" w:color="auto" w:fill="E1DFDD"/>
    </w:rPr>
  </w:style>
  <w:style w:type="character" w:customStyle="1" w:styleId="30000">
    <w:name w:val="Неразрешенное упоминание3000"/>
    <w:basedOn w:val="a0"/>
    <w:uiPriority w:val="99"/>
    <w:rsid w:val="00DC7DF8"/>
    <w:rPr>
      <w:color w:val="605E5C"/>
      <w:shd w:val="clear" w:color="auto" w:fill="E1DFDD"/>
    </w:rPr>
  </w:style>
  <w:style w:type="character" w:customStyle="1" w:styleId="300001">
    <w:name w:val="Неразрешенное упоминание30000"/>
    <w:basedOn w:val="a0"/>
    <w:uiPriority w:val="99"/>
    <w:rsid w:val="00DC7DF8"/>
    <w:rPr>
      <w:color w:val="605E5C"/>
      <w:shd w:val="clear" w:color="auto" w:fill="E1DFDD"/>
    </w:rPr>
  </w:style>
  <w:style w:type="character" w:customStyle="1" w:styleId="3000000">
    <w:name w:val="Неразрешенное упоминание3000000"/>
    <w:basedOn w:val="a0"/>
    <w:uiPriority w:val="99"/>
    <w:rsid w:val="004A0A5F"/>
    <w:rPr>
      <w:color w:val="605E5C"/>
      <w:shd w:val="clear" w:color="auto" w:fill="E1DFDD"/>
    </w:rPr>
  </w:style>
  <w:style w:type="character" w:customStyle="1" w:styleId="30000000">
    <w:name w:val="Неразрешенное упоминание30000000"/>
    <w:basedOn w:val="a0"/>
    <w:uiPriority w:val="99"/>
    <w:rsid w:val="004A0A5F"/>
    <w:rPr>
      <w:color w:val="605E5C"/>
      <w:shd w:val="clear" w:color="auto" w:fill="E1DFDD"/>
    </w:rPr>
  </w:style>
  <w:style w:type="character" w:customStyle="1" w:styleId="300000000">
    <w:name w:val="Неразрешенное упоминание300000000"/>
    <w:basedOn w:val="a0"/>
    <w:uiPriority w:val="99"/>
    <w:rsid w:val="00B86BCC"/>
    <w:rPr>
      <w:color w:val="605E5C"/>
      <w:shd w:val="clear" w:color="auto" w:fill="E1DFDD"/>
    </w:rPr>
  </w:style>
  <w:style w:type="character" w:customStyle="1" w:styleId="3000000000">
    <w:name w:val="Неразрешенное упоминание3000000000"/>
    <w:basedOn w:val="a0"/>
    <w:uiPriority w:val="99"/>
    <w:rsid w:val="00B530FB"/>
    <w:rPr>
      <w:color w:val="605E5C"/>
      <w:shd w:val="clear" w:color="auto" w:fill="E1DFDD"/>
    </w:rPr>
  </w:style>
  <w:style w:type="character" w:customStyle="1" w:styleId="30000000000">
    <w:name w:val="Неразрешенное упоминание30000000000"/>
    <w:basedOn w:val="a0"/>
    <w:uiPriority w:val="99"/>
    <w:rsid w:val="004B2299"/>
    <w:rPr>
      <w:color w:val="605E5C"/>
      <w:shd w:val="clear" w:color="auto" w:fill="E1DFDD"/>
    </w:rPr>
  </w:style>
  <w:style w:type="character" w:customStyle="1" w:styleId="300000000000">
    <w:name w:val="Неразрешенное упоминание300000000000"/>
    <w:basedOn w:val="a0"/>
    <w:uiPriority w:val="99"/>
    <w:rsid w:val="004B2299"/>
    <w:rPr>
      <w:color w:val="605E5C"/>
      <w:shd w:val="clear" w:color="auto" w:fill="E1DFDD"/>
    </w:rPr>
  </w:style>
  <w:style w:type="character" w:customStyle="1" w:styleId="3000000000000">
    <w:name w:val="Неразрешенное упоминание3000000000000"/>
    <w:basedOn w:val="a0"/>
    <w:uiPriority w:val="99"/>
    <w:rsid w:val="00F46769"/>
    <w:rPr>
      <w:color w:val="605E5C"/>
      <w:shd w:val="clear" w:color="auto" w:fill="E1DFDD"/>
    </w:rPr>
  </w:style>
  <w:style w:type="character" w:customStyle="1" w:styleId="30000000000000">
    <w:name w:val="Неразрешенное упоминание30000000000000"/>
    <w:basedOn w:val="a0"/>
    <w:uiPriority w:val="99"/>
    <w:rsid w:val="009B1128"/>
    <w:rPr>
      <w:color w:val="605E5C"/>
      <w:shd w:val="clear" w:color="auto" w:fill="E1DFDD"/>
    </w:rPr>
  </w:style>
  <w:style w:type="character" w:customStyle="1" w:styleId="300000000000000">
    <w:name w:val="Неразрешенное упоминание300000000000000"/>
    <w:basedOn w:val="a0"/>
    <w:uiPriority w:val="99"/>
    <w:rsid w:val="00CB6105"/>
    <w:rPr>
      <w:color w:val="605E5C"/>
      <w:shd w:val="clear" w:color="auto" w:fill="E1DFDD"/>
    </w:rPr>
  </w:style>
  <w:style w:type="character" w:customStyle="1" w:styleId="3000000000000000">
    <w:name w:val="Неразрешенное упоминание3000000000000000"/>
    <w:basedOn w:val="a0"/>
    <w:uiPriority w:val="99"/>
    <w:rsid w:val="00CB6105"/>
    <w:rPr>
      <w:color w:val="605E5C"/>
      <w:shd w:val="clear" w:color="auto" w:fill="E1DFDD"/>
    </w:rPr>
  </w:style>
  <w:style w:type="character" w:customStyle="1" w:styleId="UnresolvedMention">
    <w:name w:val="Unresolved Mention"/>
    <w:basedOn w:val="a0"/>
    <w:uiPriority w:val="99"/>
    <w:semiHidden/>
    <w:unhideWhenUsed/>
    <w:rsid w:val="007052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1303">
      <w:bodyDiv w:val="1"/>
      <w:marLeft w:val="0"/>
      <w:marRight w:val="0"/>
      <w:marTop w:val="0"/>
      <w:marBottom w:val="0"/>
      <w:divBdr>
        <w:top w:val="none" w:sz="0" w:space="0" w:color="auto"/>
        <w:left w:val="none" w:sz="0" w:space="0" w:color="auto"/>
        <w:bottom w:val="none" w:sz="0" w:space="0" w:color="auto"/>
        <w:right w:val="none" w:sz="0" w:space="0" w:color="auto"/>
      </w:divBdr>
    </w:div>
    <w:div w:id="12540616">
      <w:bodyDiv w:val="1"/>
      <w:marLeft w:val="0"/>
      <w:marRight w:val="0"/>
      <w:marTop w:val="0"/>
      <w:marBottom w:val="0"/>
      <w:divBdr>
        <w:top w:val="none" w:sz="0" w:space="0" w:color="auto"/>
        <w:left w:val="none" w:sz="0" w:space="0" w:color="auto"/>
        <w:bottom w:val="none" w:sz="0" w:space="0" w:color="auto"/>
        <w:right w:val="none" w:sz="0" w:space="0" w:color="auto"/>
      </w:divBdr>
      <w:divsChild>
        <w:div w:id="723717795">
          <w:marLeft w:val="0"/>
          <w:marRight w:val="0"/>
          <w:marTop w:val="0"/>
          <w:marBottom w:val="0"/>
          <w:divBdr>
            <w:top w:val="none" w:sz="0" w:space="0" w:color="auto"/>
            <w:left w:val="none" w:sz="0" w:space="0" w:color="auto"/>
            <w:bottom w:val="none" w:sz="0" w:space="0" w:color="auto"/>
            <w:right w:val="none" w:sz="0" w:space="0" w:color="auto"/>
          </w:divBdr>
          <w:divsChild>
            <w:div w:id="517895391">
              <w:marLeft w:val="0"/>
              <w:marRight w:val="0"/>
              <w:marTop w:val="0"/>
              <w:marBottom w:val="0"/>
              <w:divBdr>
                <w:top w:val="none" w:sz="0" w:space="0" w:color="auto"/>
                <w:left w:val="none" w:sz="0" w:space="0" w:color="auto"/>
                <w:bottom w:val="none" w:sz="0" w:space="0" w:color="auto"/>
                <w:right w:val="none" w:sz="0" w:space="0" w:color="auto"/>
              </w:divBdr>
              <w:divsChild>
                <w:div w:id="107801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39290">
      <w:bodyDiv w:val="1"/>
      <w:marLeft w:val="0"/>
      <w:marRight w:val="0"/>
      <w:marTop w:val="0"/>
      <w:marBottom w:val="0"/>
      <w:divBdr>
        <w:top w:val="none" w:sz="0" w:space="0" w:color="auto"/>
        <w:left w:val="none" w:sz="0" w:space="0" w:color="auto"/>
        <w:bottom w:val="none" w:sz="0" w:space="0" w:color="auto"/>
        <w:right w:val="none" w:sz="0" w:space="0" w:color="auto"/>
      </w:divBdr>
      <w:divsChild>
        <w:div w:id="706374216">
          <w:marLeft w:val="0"/>
          <w:marRight w:val="0"/>
          <w:marTop w:val="0"/>
          <w:marBottom w:val="0"/>
          <w:divBdr>
            <w:top w:val="none" w:sz="0" w:space="0" w:color="auto"/>
            <w:left w:val="none" w:sz="0" w:space="0" w:color="auto"/>
            <w:bottom w:val="none" w:sz="0" w:space="0" w:color="auto"/>
            <w:right w:val="none" w:sz="0" w:space="0" w:color="auto"/>
          </w:divBdr>
          <w:divsChild>
            <w:div w:id="451872272">
              <w:marLeft w:val="0"/>
              <w:marRight w:val="0"/>
              <w:marTop w:val="0"/>
              <w:marBottom w:val="0"/>
              <w:divBdr>
                <w:top w:val="none" w:sz="0" w:space="0" w:color="auto"/>
                <w:left w:val="none" w:sz="0" w:space="0" w:color="auto"/>
                <w:bottom w:val="none" w:sz="0" w:space="0" w:color="auto"/>
                <w:right w:val="none" w:sz="0" w:space="0" w:color="auto"/>
              </w:divBdr>
              <w:divsChild>
                <w:div w:id="210471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20183">
      <w:bodyDiv w:val="1"/>
      <w:marLeft w:val="0"/>
      <w:marRight w:val="0"/>
      <w:marTop w:val="0"/>
      <w:marBottom w:val="0"/>
      <w:divBdr>
        <w:top w:val="none" w:sz="0" w:space="0" w:color="auto"/>
        <w:left w:val="none" w:sz="0" w:space="0" w:color="auto"/>
        <w:bottom w:val="none" w:sz="0" w:space="0" w:color="auto"/>
        <w:right w:val="none" w:sz="0" w:space="0" w:color="auto"/>
      </w:divBdr>
    </w:div>
    <w:div w:id="27487862">
      <w:bodyDiv w:val="1"/>
      <w:marLeft w:val="0"/>
      <w:marRight w:val="0"/>
      <w:marTop w:val="0"/>
      <w:marBottom w:val="0"/>
      <w:divBdr>
        <w:top w:val="none" w:sz="0" w:space="0" w:color="auto"/>
        <w:left w:val="none" w:sz="0" w:space="0" w:color="auto"/>
        <w:bottom w:val="none" w:sz="0" w:space="0" w:color="auto"/>
        <w:right w:val="none" w:sz="0" w:space="0" w:color="auto"/>
      </w:divBdr>
    </w:div>
    <w:div w:id="33700810">
      <w:bodyDiv w:val="1"/>
      <w:marLeft w:val="0"/>
      <w:marRight w:val="0"/>
      <w:marTop w:val="0"/>
      <w:marBottom w:val="0"/>
      <w:divBdr>
        <w:top w:val="none" w:sz="0" w:space="0" w:color="auto"/>
        <w:left w:val="none" w:sz="0" w:space="0" w:color="auto"/>
        <w:bottom w:val="none" w:sz="0" w:space="0" w:color="auto"/>
        <w:right w:val="none" w:sz="0" w:space="0" w:color="auto"/>
      </w:divBdr>
    </w:div>
    <w:div w:id="36661043">
      <w:bodyDiv w:val="1"/>
      <w:marLeft w:val="0"/>
      <w:marRight w:val="0"/>
      <w:marTop w:val="0"/>
      <w:marBottom w:val="0"/>
      <w:divBdr>
        <w:top w:val="none" w:sz="0" w:space="0" w:color="auto"/>
        <w:left w:val="none" w:sz="0" w:space="0" w:color="auto"/>
        <w:bottom w:val="none" w:sz="0" w:space="0" w:color="auto"/>
        <w:right w:val="none" w:sz="0" w:space="0" w:color="auto"/>
      </w:divBdr>
      <w:divsChild>
        <w:div w:id="128326621">
          <w:marLeft w:val="0"/>
          <w:marRight w:val="0"/>
          <w:marTop w:val="0"/>
          <w:marBottom w:val="0"/>
          <w:divBdr>
            <w:top w:val="none" w:sz="0" w:space="0" w:color="auto"/>
            <w:left w:val="none" w:sz="0" w:space="0" w:color="auto"/>
            <w:bottom w:val="none" w:sz="0" w:space="0" w:color="auto"/>
            <w:right w:val="none" w:sz="0" w:space="0" w:color="auto"/>
          </w:divBdr>
          <w:divsChild>
            <w:div w:id="5720079">
              <w:marLeft w:val="0"/>
              <w:marRight w:val="0"/>
              <w:marTop w:val="0"/>
              <w:marBottom w:val="0"/>
              <w:divBdr>
                <w:top w:val="none" w:sz="0" w:space="0" w:color="auto"/>
                <w:left w:val="none" w:sz="0" w:space="0" w:color="auto"/>
                <w:bottom w:val="none" w:sz="0" w:space="0" w:color="auto"/>
                <w:right w:val="none" w:sz="0" w:space="0" w:color="auto"/>
              </w:divBdr>
              <w:divsChild>
                <w:div w:id="678317428">
                  <w:marLeft w:val="0"/>
                  <w:marRight w:val="0"/>
                  <w:marTop w:val="0"/>
                  <w:marBottom w:val="0"/>
                  <w:divBdr>
                    <w:top w:val="none" w:sz="0" w:space="0" w:color="auto"/>
                    <w:left w:val="none" w:sz="0" w:space="0" w:color="auto"/>
                    <w:bottom w:val="none" w:sz="0" w:space="0" w:color="auto"/>
                    <w:right w:val="none" w:sz="0" w:space="0" w:color="auto"/>
                  </w:divBdr>
                  <w:divsChild>
                    <w:div w:id="191169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77604">
      <w:bodyDiv w:val="1"/>
      <w:marLeft w:val="0"/>
      <w:marRight w:val="0"/>
      <w:marTop w:val="0"/>
      <w:marBottom w:val="0"/>
      <w:divBdr>
        <w:top w:val="none" w:sz="0" w:space="0" w:color="auto"/>
        <w:left w:val="none" w:sz="0" w:space="0" w:color="auto"/>
        <w:bottom w:val="none" w:sz="0" w:space="0" w:color="auto"/>
        <w:right w:val="none" w:sz="0" w:space="0" w:color="auto"/>
      </w:divBdr>
    </w:div>
    <w:div w:id="38552121">
      <w:bodyDiv w:val="1"/>
      <w:marLeft w:val="0"/>
      <w:marRight w:val="0"/>
      <w:marTop w:val="0"/>
      <w:marBottom w:val="0"/>
      <w:divBdr>
        <w:top w:val="none" w:sz="0" w:space="0" w:color="auto"/>
        <w:left w:val="none" w:sz="0" w:space="0" w:color="auto"/>
        <w:bottom w:val="none" w:sz="0" w:space="0" w:color="auto"/>
        <w:right w:val="none" w:sz="0" w:space="0" w:color="auto"/>
      </w:divBdr>
    </w:div>
    <w:div w:id="44254852">
      <w:bodyDiv w:val="1"/>
      <w:marLeft w:val="0"/>
      <w:marRight w:val="0"/>
      <w:marTop w:val="0"/>
      <w:marBottom w:val="0"/>
      <w:divBdr>
        <w:top w:val="none" w:sz="0" w:space="0" w:color="auto"/>
        <w:left w:val="none" w:sz="0" w:space="0" w:color="auto"/>
        <w:bottom w:val="none" w:sz="0" w:space="0" w:color="auto"/>
        <w:right w:val="none" w:sz="0" w:space="0" w:color="auto"/>
      </w:divBdr>
    </w:div>
    <w:div w:id="46035639">
      <w:bodyDiv w:val="1"/>
      <w:marLeft w:val="0"/>
      <w:marRight w:val="0"/>
      <w:marTop w:val="0"/>
      <w:marBottom w:val="0"/>
      <w:divBdr>
        <w:top w:val="none" w:sz="0" w:space="0" w:color="auto"/>
        <w:left w:val="none" w:sz="0" w:space="0" w:color="auto"/>
        <w:bottom w:val="none" w:sz="0" w:space="0" w:color="auto"/>
        <w:right w:val="none" w:sz="0" w:space="0" w:color="auto"/>
      </w:divBdr>
      <w:divsChild>
        <w:div w:id="1237744168">
          <w:marLeft w:val="0"/>
          <w:marRight w:val="0"/>
          <w:marTop w:val="0"/>
          <w:marBottom w:val="0"/>
          <w:divBdr>
            <w:top w:val="none" w:sz="0" w:space="0" w:color="auto"/>
            <w:left w:val="none" w:sz="0" w:space="0" w:color="auto"/>
            <w:bottom w:val="none" w:sz="0" w:space="0" w:color="auto"/>
            <w:right w:val="none" w:sz="0" w:space="0" w:color="auto"/>
          </w:divBdr>
          <w:divsChild>
            <w:div w:id="2087528106">
              <w:marLeft w:val="0"/>
              <w:marRight w:val="0"/>
              <w:marTop w:val="0"/>
              <w:marBottom w:val="0"/>
              <w:divBdr>
                <w:top w:val="none" w:sz="0" w:space="0" w:color="auto"/>
                <w:left w:val="none" w:sz="0" w:space="0" w:color="auto"/>
                <w:bottom w:val="none" w:sz="0" w:space="0" w:color="auto"/>
                <w:right w:val="none" w:sz="0" w:space="0" w:color="auto"/>
              </w:divBdr>
              <w:divsChild>
                <w:div w:id="247085704">
                  <w:marLeft w:val="0"/>
                  <w:marRight w:val="0"/>
                  <w:marTop w:val="0"/>
                  <w:marBottom w:val="0"/>
                  <w:divBdr>
                    <w:top w:val="none" w:sz="0" w:space="0" w:color="auto"/>
                    <w:left w:val="none" w:sz="0" w:space="0" w:color="auto"/>
                    <w:bottom w:val="none" w:sz="0" w:space="0" w:color="auto"/>
                    <w:right w:val="none" w:sz="0" w:space="0" w:color="auto"/>
                  </w:divBdr>
                </w:div>
              </w:divsChild>
            </w:div>
            <w:div w:id="1265189363">
              <w:marLeft w:val="0"/>
              <w:marRight w:val="0"/>
              <w:marTop w:val="0"/>
              <w:marBottom w:val="0"/>
              <w:divBdr>
                <w:top w:val="none" w:sz="0" w:space="0" w:color="auto"/>
                <w:left w:val="none" w:sz="0" w:space="0" w:color="auto"/>
                <w:bottom w:val="none" w:sz="0" w:space="0" w:color="auto"/>
                <w:right w:val="none" w:sz="0" w:space="0" w:color="auto"/>
              </w:divBdr>
              <w:divsChild>
                <w:div w:id="160419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91257">
      <w:bodyDiv w:val="1"/>
      <w:marLeft w:val="0"/>
      <w:marRight w:val="0"/>
      <w:marTop w:val="0"/>
      <w:marBottom w:val="0"/>
      <w:divBdr>
        <w:top w:val="none" w:sz="0" w:space="0" w:color="auto"/>
        <w:left w:val="none" w:sz="0" w:space="0" w:color="auto"/>
        <w:bottom w:val="none" w:sz="0" w:space="0" w:color="auto"/>
        <w:right w:val="none" w:sz="0" w:space="0" w:color="auto"/>
      </w:divBdr>
      <w:divsChild>
        <w:div w:id="1545369902">
          <w:marLeft w:val="0"/>
          <w:marRight w:val="0"/>
          <w:marTop w:val="0"/>
          <w:marBottom w:val="0"/>
          <w:divBdr>
            <w:top w:val="none" w:sz="0" w:space="0" w:color="auto"/>
            <w:left w:val="none" w:sz="0" w:space="0" w:color="auto"/>
            <w:bottom w:val="none" w:sz="0" w:space="0" w:color="auto"/>
            <w:right w:val="none" w:sz="0" w:space="0" w:color="auto"/>
          </w:divBdr>
          <w:divsChild>
            <w:div w:id="1893732419">
              <w:marLeft w:val="0"/>
              <w:marRight w:val="0"/>
              <w:marTop w:val="0"/>
              <w:marBottom w:val="0"/>
              <w:divBdr>
                <w:top w:val="none" w:sz="0" w:space="0" w:color="auto"/>
                <w:left w:val="none" w:sz="0" w:space="0" w:color="auto"/>
                <w:bottom w:val="none" w:sz="0" w:space="0" w:color="auto"/>
                <w:right w:val="none" w:sz="0" w:space="0" w:color="auto"/>
              </w:divBdr>
              <w:divsChild>
                <w:div w:id="1420562463">
                  <w:marLeft w:val="0"/>
                  <w:marRight w:val="0"/>
                  <w:marTop w:val="0"/>
                  <w:marBottom w:val="0"/>
                  <w:divBdr>
                    <w:top w:val="none" w:sz="0" w:space="0" w:color="auto"/>
                    <w:left w:val="none" w:sz="0" w:space="0" w:color="auto"/>
                    <w:bottom w:val="none" w:sz="0" w:space="0" w:color="auto"/>
                    <w:right w:val="none" w:sz="0" w:space="0" w:color="auto"/>
                  </w:divBdr>
                  <w:divsChild>
                    <w:div w:id="59416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7686">
      <w:bodyDiv w:val="1"/>
      <w:marLeft w:val="0"/>
      <w:marRight w:val="0"/>
      <w:marTop w:val="0"/>
      <w:marBottom w:val="0"/>
      <w:divBdr>
        <w:top w:val="none" w:sz="0" w:space="0" w:color="auto"/>
        <w:left w:val="none" w:sz="0" w:space="0" w:color="auto"/>
        <w:bottom w:val="none" w:sz="0" w:space="0" w:color="auto"/>
        <w:right w:val="none" w:sz="0" w:space="0" w:color="auto"/>
      </w:divBdr>
    </w:div>
    <w:div w:id="62415179">
      <w:bodyDiv w:val="1"/>
      <w:marLeft w:val="0"/>
      <w:marRight w:val="0"/>
      <w:marTop w:val="0"/>
      <w:marBottom w:val="0"/>
      <w:divBdr>
        <w:top w:val="none" w:sz="0" w:space="0" w:color="auto"/>
        <w:left w:val="none" w:sz="0" w:space="0" w:color="auto"/>
        <w:bottom w:val="none" w:sz="0" w:space="0" w:color="auto"/>
        <w:right w:val="none" w:sz="0" w:space="0" w:color="auto"/>
      </w:divBdr>
      <w:divsChild>
        <w:div w:id="760950514">
          <w:marLeft w:val="0"/>
          <w:marRight w:val="0"/>
          <w:marTop w:val="0"/>
          <w:marBottom w:val="0"/>
          <w:divBdr>
            <w:top w:val="none" w:sz="0" w:space="0" w:color="auto"/>
            <w:left w:val="none" w:sz="0" w:space="0" w:color="auto"/>
            <w:bottom w:val="none" w:sz="0" w:space="0" w:color="auto"/>
            <w:right w:val="none" w:sz="0" w:space="0" w:color="auto"/>
          </w:divBdr>
        </w:div>
      </w:divsChild>
    </w:div>
    <w:div w:id="67115660">
      <w:bodyDiv w:val="1"/>
      <w:marLeft w:val="0"/>
      <w:marRight w:val="0"/>
      <w:marTop w:val="0"/>
      <w:marBottom w:val="0"/>
      <w:divBdr>
        <w:top w:val="none" w:sz="0" w:space="0" w:color="auto"/>
        <w:left w:val="none" w:sz="0" w:space="0" w:color="auto"/>
        <w:bottom w:val="none" w:sz="0" w:space="0" w:color="auto"/>
        <w:right w:val="none" w:sz="0" w:space="0" w:color="auto"/>
      </w:divBdr>
    </w:div>
    <w:div w:id="74666261">
      <w:bodyDiv w:val="1"/>
      <w:marLeft w:val="0"/>
      <w:marRight w:val="0"/>
      <w:marTop w:val="0"/>
      <w:marBottom w:val="0"/>
      <w:divBdr>
        <w:top w:val="none" w:sz="0" w:space="0" w:color="auto"/>
        <w:left w:val="none" w:sz="0" w:space="0" w:color="auto"/>
        <w:bottom w:val="none" w:sz="0" w:space="0" w:color="auto"/>
        <w:right w:val="none" w:sz="0" w:space="0" w:color="auto"/>
      </w:divBdr>
    </w:div>
    <w:div w:id="74979133">
      <w:bodyDiv w:val="1"/>
      <w:marLeft w:val="0"/>
      <w:marRight w:val="0"/>
      <w:marTop w:val="0"/>
      <w:marBottom w:val="0"/>
      <w:divBdr>
        <w:top w:val="none" w:sz="0" w:space="0" w:color="auto"/>
        <w:left w:val="none" w:sz="0" w:space="0" w:color="auto"/>
        <w:bottom w:val="none" w:sz="0" w:space="0" w:color="auto"/>
        <w:right w:val="none" w:sz="0" w:space="0" w:color="auto"/>
      </w:divBdr>
      <w:divsChild>
        <w:div w:id="319231478">
          <w:marLeft w:val="0"/>
          <w:marRight w:val="0"/>
          <w:marTop w:val="0"/>
          <w:marBottom w:val="0"/>
          <w:divBdr>
            <w:top w:val="none" w:sz="0" w:space="0" w:color="auto"/>
            <w:left w:val="none" w:sz="0" w:space="0" w:color="auto"/>
            <w:bottom w:val="none" w:sz="0" w:space="0" w:color="auto"/>
            <w:right w:val="none" w:sz="0" w:space="0" w:color="auto"/>
          </w:divBdr>
          <w:divsChild>
            <w:div w:id="148786826">
              <w:marLeft w:val="0"/>
              <w:marRight w:val="0"/>
              <w:marTop w:val="0"/>
              <w:marBottom w:val="0"/>
              <w:divBdr>
                <w:top w:val="none" w:sz="0" w:space="0" w:color="auto"/>
                <w:left w:val="none" w:sz="0" w:space="0" w:color="auto"/>
                <w:bottom w:val="none" w:sz="0" w:space="0" w:color="auto"/>
                <w:right w:val="none" w:sz="0" w:space="0" w:color="auto"/>
              </w:divBdr>
              <w:divsChild>
                <w:div w:id="16490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4464">
      <w:bodyDiv w:val="1"/>
      <w:marLeft w:val="0"/>
      <w:marRight w:val="0"/>
      <w:marTop w:val="0"/>
      <w:marBottom w:val="0"/>
      <w:divBdr>
        <w:top w:val="none" w:sz="0" w:space="0" w:color="auto"/>
        <w:left w:val="none" w:sz="0" w:space="0" w:color="auto"/>
        <w:bottom w:val="none" w:sz="0" w:space="0" w:color="auto"/>
        <w:right w:val="none" w:sz="0" w:space="0" w:color="auto"/>
      </w:divBdr>
    </w:div>
    <w:div w:id="108360038">
      <w:bodyDiv w:val="1"/>
      <w:marLeft w:val="0"/>
      <w:marRight w:val="0"/>
      <w:marTop w:val="0"/>
      <w:marBottom w:val="0"/>
      <w:divBdr>
        <w:top w:val="none" w:sz="0" w:space="0" w:color="auto"/>
        <w:left w:val="none" w:sz="0" w:space="0" w:color="auto"/>
        <w:bottom w:val="none" w:sz="0" w:space="0" w:color="auto"/>
        <w:right w:val="none" w:sz="0" w:space="0" w:color="auto"/>
      </w:divBdr>
    </w:div>
    <w:div w:id="114907223">
      <w:bodyDiv w:val="1"/>
      <w:marLeft w:val="0"/>
      <w:marRight w:val="0"/>
      <w:marTop w:val="0"/>
      <w:marBottom w:val="0"/>
      <w:divBdr>
        <w:top w:val="none" w:sz="0" w:space="0" w:color="auto"/>
        <w:left w:val="none" w:sz="0" w:space="0" w:color="auto"/>
        <w:bottom w:val="none" w:sz="0" w:space="0" w:color="auto"/>
        <w:right w:val="none" w:sz="0" w:space="0" w:color="auto"/>
      </w:divBdr>
    </w:div>
    <w:div w:id="135687234">
      <w:bodyDiv w:val="1"/>
      <w:marLeft w:val="0"/>
      <w:marRight w:val="0"/>
      <w:marTop w:val="0"/>
      <w:marBottom w:val="0"/>
      <w:divBdr>
        <w:top w:val="none" w:sz="0" w:space="0" w:color="auto"/>
        <w:left w:val="none" w:sz="0" w:space="0" w:color="auto"/>
        <w:bottom w:val="none" w:sz="0" w:space="0" w:color="auto"/>
        <w:right w:val="none" w:sz="0" w:space="0" w:color="auto"/>
      </w:divBdr>
    </w:div>
    <w:div w:id="145828896">
      <w:bodyDiv w:val="1"/>
      <w:marLeft w:val="0"/>
      <w:marRight w:val="0"/>
      <w:marTop w:val="0"/>
      <w:marBottom w:val="0"/>
      <w:divBdr>
        <w:top w:val="none" w:sz="0" w:space="0" w:color="auto"/>
        <w:left w:val="none" w:sz="0" w:space="0" w:color="auto"/>
        <w:bottom w:val="none" w:sz="0" w:space="0" w:color="auto"/>
        <w:right w:val="none" w:sz="0" w:space="0" w:color="auto"/>
      </w:divBdr>
      <w:divsChild>
        <w:div w:id="152525006">
          <w:marLeft w:val="0"/>
          <w:marRight w:val="0"/>
          <w:marTop w:val="0"/>
          <w:marBottom w:val="0"/>
          <w:divBdr>
            <w:top w:val="none" w:sz="0" w:space="0" w:color="auto"/>
            <w:left w:val="none" w:sz="0" w:space="0" w:color="auto"/>
            <w:bottom w:val="none" w:sz="0" w:space="0" w:color="auto"/>
            <w:right w:val="none" w:sz="0" w:space="0" w:color="auto"/>
          </w:divBdr>
          <w:divsChild>
            <w:div w:id="1133249576">
              <w:marLeft w:val="0"/>
              <w:marRight w:val="0"/>
              <w:marTop w:val="0"/>
              <w:marBottom w:val="0"/>
              <w:divBdr>
                <w:top w:val="none" w:sz="0" w:space="0" w:color="auto"/>
                <w:left w:val="none" w:sz="0" w:space="0" w:color="auto"/>
                <w:bottom w:val="none" w:sz="0" w:space="0" w:color="auto"/>
                <w:right w:val="none" w:sz="0" w:space="0" w:color="auto"/>
              </w:divBdr>
              <w:divsChild>
                <w:div w:id="27251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9626">
      <w:bodyDiv w:val="1"/>
      <w:marLeft w:val="0"/>
      <w:marRight w:val="0"/>
      <w:marTop w:val="0"/>
      <w:marBottom w:val="0"/>
      <w:divBdr>
        <w:top w:val="none" w:sz="0" w:space="0" w:color="auto"/>
        <w:left w:val="none" w:sz="0" w:space="0" w:color="auto"/>
        <w:bottom w:val="none" w:sz="0" w:space="0" w:color="auto"/>
        <w:right w:val="none" w:sz="0" w:space="0" w:color="auto"/>
      </w:divBdr>
    </w:div>
    <w:div w:id="184486936">
      <w:bodyDiv w:val="1"/>
      <w:marLeft w:val="0"/>
      <w:marRight w:val="0"/>
      <w:marTop w:val="0"/>
      <w:marBottom w:val="0"/>
      <w:divBdr>
        <w:top w:val="none" w:sz="0" w:space="0" w:color="auto"/>
        <w:left w:val="none" w:sz="0" w:space="0" w:color="auto"/>
        <w:bottom w:val="none" w:sz="0" w:space="0" w:color="auto"/>
        <w:right w:val="none" w:sz="0" w:space="0" w:color="auto"/>
      </w:divBdr>
    </w:div>
    <w:div w:id="206381340">
      <w:bodyDiv w:val="1"/>
      <w:marLeft w:val="0"/>
      <w:marRight w:val="0"/>
      <w:marTop w:val="0"/>
      <w:marBottom w:val="0"/>
      <w:divBdr>
        <w:top w:val="none" w:sz="0" w:space="0" w:color="auto"/>
        <w:left w:val="none" w:sz="0" w:space="0" w:color="auto"/>
        <w:bottom w:val="none" w:sz="0" w:space="0" w:color="auto"/>
        <w:right w:val="none" w:sz="0" w:space="0" w:color="auto"/>
      </w:divBdr>
    </w:div>
    <w:div w:id="208495506">
      <w:bodyDiv w:val="1"/>
      <w:marLeft w:val="0"/>
      <w:marRight w:val="0"/>
      <w:marTop w:val="0"/>
      <w:marBottom w:val="0"/>
      <w:divBdr>
        <w:top w:val="none" w:sz="0" w:space="0" w:color="auto"/>
        <w:left w:val="none" w:sz="0" w:space="0" w:color="auto"/>
        <w:bottom w:val="none" w:sz="0" w:space="0" w:color="auto"/>
        <w:right w:val="none" w:sz="0" w:space="0" w:color="auto"/>
      </w:divBdr>
      <w:divsChild>
        <w:div w:id="1431117726">
          <w:marLeft w:val="0"/>
          <w:marRight w:val="0"/>
          <w:marTop w:val="0"/>
          <w:marBottom w:val="0"/>
          <w:divBdr>
            <w:top w:val="none" w:sz="0" w:space="0" w:color="auto"/>
            <w:left w:val="none" w:sz="0" w:space="0" w:color="auto"/>
            <w:bottom w:val="none" w:sz="0" w:space="0" w:color="auto"/>
            <w:right w:val="none" w:sz="0" w:space="0" w:color="auto"/>
          </w:divBdr>
          <w:divsChild>
            <w:div w:id="226886511">
              <w:marLeft w:val="0"/>
              <w:marRight w:val="0"/>
              <w:marTop w:val="0"/>
              <w:marBottom w:val="0"/>
              <w:divBdr>
                <w:top w:val="none" w:sz="0" w:space="0" w:color="auto"/>
                <w:left w:val="none" w:sz="0" w:space="0" w:color="auto"/>
                <w:bottom w:val="none" w:sz="0" w:space="0" w:color="auto"/>
                <w:right w:val="none" w:sz="0" w:space="0" w:color="auto"/>
              </w:divBdr>
              <w:divsChild>
                <w:div w:id="195339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7200">
      <w:bodyDiv w:val="1"/>
      <w:marLeft w:val="0"/>
      <w:marRight w:val="0"/>
      <w:marTop w:val="0"/>
      <w:marBottom w:val="0"/>
      <w:divBdr>
        <w:top w:val="none" w:sz="0" w:space="0" w:color="auto"/>
        <w:left w:val="none" w:sz="0" w:space="0" w:color="auto"/>
        <w:bottom w:val="none" w:sz="0" w:space="0" w:color="auto"/>
        <w:right w:val="none" w:sz="0" w:space="0" w:color="auto"/>
      </w:divBdr>
      <w:divsChild>
        <w:div w:id="957569464">
          <w:marLeft w:val="0"/>
          <w:marRight w:val="0"/>
          <w:marTop w:val="0"/>
          <w:marBottom w:val="0"/>
          <w:divBdr>
            <w:top w:val="none" w:sz="0" w:space="0" w:color="auto"/>
            <w:left w:val="none" w:sz="0" w:space="0" w:color="auto"/>
            <w:bottom w:val="none" w:sz="0" w:space="0" w:color="auto"/>
            <w:right w:val="none" w:sz="0" w:space="0" w:color="auto"/>
          </w:divBdr>
          <w:divsChild>
            <w:div w:id="1259405644">
              <w:marLeft w:val="0"/>
              <w:marRight w:val="0"/>
              <w:marTop w:val="0"/>
              <w:marBottom w:val="0"/>
              <w:divBdr>
                <w:top w:val="none" w:sz="0" w:space="0" w:color="auto"/>
                <w:left w:val="none" w:sz="0" w:space="0" w:color="auto"/>
                <w:bottom w:val="none" w:sz="0" w:space="0" w:color="auto"/>
                <w:right w:val="none" w:sz="0" w:space="0" w:color="auto"/>
              </w:divBdr>
              <w:divsChild>
                <w:div w:id="122278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305895">
      <w:bodyDiv w:val="1"/>
      <w:marLeft w:val="0"/>
      <w:marRight w:val="0"/>
      <w:marTop w:val="0"/>
      <w:marBottom w:val="0"/>
      <w:divBdr>
        <w:top w:val="none" w:sz="0" w:space="0" w:color="auto"/>
        <w:left w:val="none" w:sz="0" w:space="0" w:color="auto"/>
        <w:bottom w:val="none" w:sz="0" w:space="0" w:color="auto"/>
        <w:right w:val="none" w:sz="0" w:space="0" w:color="auto"/>
      </w:divBdr>
      <w:divsChild>
        <w:div w:id="862012658">
          <w:marLeft w:val="0"/>
          <w:marRight w:val="0"/>
          <w:marTop w:val="0"/>
          <w:marBottom w:val="0"/>
          <w:divBdr>
            <w:top w:val="none" w:sz="0" w:space="0" w:color="auto"/>
            <w:left w:val="none" w:sz="0" w:space="0" w:color="auto"/>
            <w:bottom w:val="none" w:sz="0" w:space="0" w:color="auto"/>
            <w:right w:val="none" w:sz="0" w:space="0" w:color="auto"/>
          </w:divBdr>
          <w:divsChild>
            <w:div w:id="1510173628">
              <w:marLeft w:val="0"/>
              <w:marRight w:val="0"/>
              <w:marTop w:val="0"/>
              <w:marBottom w:val="0"/>
              <w:divBdr>
                <w:top w:val="none" w:sz="0" w:space="0" w:color="auto"/>
                <w:left w:val="none" w:sz="0" w:space="0" w:color="auto"/>
                <w:bottom w:val="none" w:sz="0" w:space="0" w:color="auto"/>
                <w:right w:val="none" w:sz="0" w:space="0" w:color="auto"/>
              </w:divBdr>
              <w:divsChild>
                <w:div w:id="77524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25805">
      <w:bodyDiv w:val="1"/>
      <w:marLeft w:val="0"/>
      <w:marRight w:val="0"/>
      <w:marTop w:val="0"/>
      <w:marBottom w:val="0"/>
      <w:divBdr>
        <w:top w:val="none" w:sz="0" w:space="0" w:color="auto"/>
        <w:left w:val="none" w:sz="0" w:space="0" w:color="auto"/>
        <w:bottom w:val="none" w:sz="0" w:space="0" w:color="auto"/>
        <w:right w:val="none" w:sz="0" w:space="0" w:color="auto"/>
      </w:divBdr>
    </w:div>
    <w:div w:id="287904438">
      <w:bodyDiv w:val="1"/>
      <w:marLeft w:val="0"/>
      <w:marRight w:val="0"/>
      <w:marTop w:val="0"/>
      <w:marBottom w:val="0"/>
      <w:divBdr>
        <w:top w:val="none" w:sz="0" w:space="0" w:color="auto"/>
        <w:left w:val="none" w:sz="0" w:space="0" w:color="auto"/>
        <w:bottom w:val="none" w:sz="0" w:space="0" w:color="auto"/>
        <w:right w:val="none" w:sz="0" w:space="0" w:color="auto"/>
      </w:divBdr>
    </w:div>
    <w:div w:id="344984710">
      <w:bodyDiv w:val="1"/>
      <w:marLeft w:val="0"/>
      <w:marRight w:val="0"/>
      <w:marTop w:val="0"/>
      <w:marBottom w:val="0"/>
      <w:divBdr>
        <w:top w:val="none" w:sz="0" w:space="0" w:color="auto"/>
        <w:left w:val="none" w:sz="0" w:space="0" w:color="auto"/>
        <w:bottom w:val="none" w:sz="0" w:space="0" w:color="auto"/>
        <w:right w:val="none" w:sz="0" w:space="0" w:color="auto"/>
      </w:divBdr>
      <w:divsChild>
        <w:div w:id="605818284">
          <w:marLeft w:val="0"/>
          <w:marRight w:val="0"/>
          <w:marTop w:val="0"/>
          <w:marBottom w:val="0"/>
          <w:divBdr>
            <w:top w:val="none" w:sz="0" w:space="0" w:color="auto"/>
            <w:left w:val="none" w:sz="0" w:space="0" w:color="auto"/>
            <w:bottom w:val="none" w:sz="0" w:space="0" w:color="auto"/>
            <w:right w:val="none" w:sz="0" w:space="0" w:color="auto"/>
          </w:divBdr>
          <w:divsChild>
            <w:div w:id="1909149876">
              <w:marLeft w:val="0"/>
              <w:marRight w:val="0"/>
              <w:marTop w:val="0"/>
              <w:marBottom w:val="0"/>
              <w:divBdr>
                <w:top w:val="none" w:sz="0" w:space="0" w:color="auto"/>
                <w:left w:val="none" w:sz="0" w:space="0" w:color="auto"/>
                <w:bottom w:val="none" w:sz="0" w:space="0" w:color="auto"/>
                <w:right w:val="none" w:sz="0" w:space="0" w:color="auto"/>
              </w:divBdr>
              <w:divsChild>
                <w:div w:id="1459839236">
                  <w:marLeft w:val="0"/>
                  <w:marRight w:val="0"/>
                  <w:marTop w:val="0"/>
                  <w:marBottom w:val="0"/>
                  <w:divBdr>
                    <w:top w:val="none" w:sz="0" w:space="0" w:color="auto"/>
                    <w:left w:val="none" w:sz="0" w:space="0" w:color="auto"/>
                    <w:bottom w:val="none" w:sz="0" w:space="0" w:color="auto"/>
                    <w:right w:val="none" w:sz="0" w:space="0" w:color="auto"/>
                  </w:divBdr>
                </w:div>
              </w:divsChild>
            </w:div>
            <w:div w:id="1025985898">
              <w:marLeft w:val="0"/>
              <w:marRight w:val="0"/>
              <w:marTop w:val="0"/>
              <w:marBottom w:val="0"/>
              <w:divBdr>
                <w:top w:val="none" w:sz="0" w:space="0" w:color="auto"/>
                <w:left w:val="none" w:sz="0" w:space="0" w:color="auto"/>
                <w:bottom w:val="none" w:sz="0" w:space="0" w:color="auto"/>
                <w:right w:val="none" w:sz="0" w:space="0" w:color="auto"/>
              </w:divBdr>
              <w:divsChild>
                <w:div w:id="54637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869027">
      <w:bodyDiv w:val="1"/>
      <w:marLeft w:val="0"/>
      <w:marRight w:val="0"/>
      <w:marTop w:val="0"/>
      <w:marBottom w:val="0"/>
      <w:divBdr>
        <w:top w:val="none" w:sz="0" w:space="0" w:color="auto"/>
        <w:left w:val="none" w:sz="0" w:space="0" w:color="auto"/>
        <w:bottom w:val="none" w:sz="0" w:space="0" w:color="auto"/>
        <w:right w:val="none" w:sz="0" w:space="0" w:color="auto"/>
      </w:divBdr>
      <w:divsChild>
        <w:div w:id="1935893988">
          <w:marLeft w:val="0"/>
          <w:marRight w:val="0"/>
          <w:marTop w:val="0"/>
          <w:marBottom w:val="0"/>
          <w:divBdr>
            <w:top w:val="none" w:sz="0" w:space="0" w:color="auto"/>
            <w:left w:val="none" w:sz="0" w:space="0" w:color="auto"/>
            <w:bottom w:val="none" w:sz="0" w:space="0" w:color="auto"/>
            <w:right w:val="none" w:sz="0" w:space="0" w:color="auto"/>
          </w:divBdr>
          <w:divsChild>
            <w:div w:id="116144395">
              <w:marLeft w:val="0"/>
              <w:marRight w:val="0"/>
              <w:marTop w:val="0"/>
              <w:marBottom w:val="0"/>
              <w:divBdr>
                <w:top w:val="none" w:sz="0" w:space="0" w:color="auto"/>
                <w:left w:val="none" w:sz="0" w:space="0" w:color="auto"/>
                <w:bottom w:val="none" w:sz="0" w:space="0" w:color="auto"/>
                <w:right w:val="none" w:sz="0" w:space="0" w:color="auto"/>
              </w:divBdr>
              <w:divsChild>
                <w:div w:id="300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367555">
      <w:bodyDiv w:val="1"/>
      <w:marLeft w:val="0"/>
      <w:marRight w:val="0"/>
      <w:marTop w:val="0"/>
      <w:marBottom w:val="0"/>
      <w:divBdr>
        <w:top w:val="none" w:sz="0" w:space="0" w:color="auto"/>
        <w:left w:val="none" w:sz="0" w:space="0" w:color="auto"/>
        <w:bottom w:val="none" w:sz="0" w:space="0" w:color="auto"/>
        <w:right w:val="none" w:sz="0" w:space="0" w:color="auto"/>
      </w:divBdr>
    </w:div>
    <w:div w:id="367149145">
      <w:bodyDiv w:val="1"/>
      <w:marLeft w:val="0"/>
      <w:marRight w:val="0"/>
      <w:marTop w:val="0"/>
      <w:marBottom w:val="0"/>
      <w:divBdr>
        <w:top w:val="none" w:sz="0" w:space="0" w:color="auto"/>
        <w:left w:val="none" w:sz="0" w:space="0" w:color="auto"/>
        <w:bottom w:val="none" w:sz="0" w:space="0" w:color="auto"/>
        <w:right w:val="none" w:sz="0" w:space="0" w:color="auto"/>
      </w:divBdr>
      <w:divsChild>
        <w:div w:id="1848864870">
          <w:marLeft w:val="0"/>
          <w:marRight w:val="0"/>
          <w:marTop w:val="0"/>
          <w:marBottom w:val="0"/>
          <w:divBdr>
            <w:top w:val="none" w:sz="0" w:space="0" w:color="auto"/>
            <w:left w:val="none" w:sz="0" w:space="0" w:color="auto"/>
            <w:bottom w:val="none" w:sz="0" w:space="0" w:color="auto"/>
            <w:right w:val="none" w:sz="0" w:space="0" w:color="auto"/>
          </w:divBdr>
          <w:divsChild>
            <w:div w:id="1248034544">
              <w:marLeft w:val="0"/>
              <w:marRight w:val="0"/>
              <w:marTop w:val="0"/>
              <w:marBottom w:val="0"/>
              <w:divBdr>
                <w:top w:val="none" w:sz="0" w:space="0" w:color="auto"/>
                <w:left w:val="none" w:sz="0" w:space="0" w:color="auto"/>
                <w:bottom w:val="none" w:sz="0" w:space="0" w:color="auto"/>
                <w:right w:val="none" w:sz="0" w:space="0" w:color="auto"/>
              </w:divBdr>
              <w:divsChild>
                <w:div w:id="36572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607101">
      <w:bodyDiv w:val="1"/>
      <w:marLeft w:val="0"/>
      <w:marRight w:val="0"/>
      <w:marTop w:val="0"/>
      <w:marBottom w:val="0"/>
      <w:divBdr>
        <w:top w:val="none" w:sz="0" w:space="0" w:color="auto"/>
        <w:left w:val="none" w:sz="0" w:space="0" w:color="auto"/>
        <w:bottom w:val="none" w:sz="0" w:space="0" w:color="auto"/>
        <w:right w:val="none" w:sz="0" w:space="0" w:color="auto"/>
      </w:divBdr>
    </w:div>
    <w:div w:id="407583237">
      <w:bodyDiv w:val="1"/>
      <w:marLeft w:val="0"/>
      <w:marRight w:val="0"/>
      <w:marTop w:val="0"/>
      <w:marBottom w:val="0"/>
      <w:divBdr>
        <w:top w:val="none" w:sz="0" w:space="0" w:color="auto"/>
        <w:left w:val="none" w:sz="0" w:space="0" w:color="auto"/>
        <w:bottom w:val="none" w:sz="0" w:space="0" w:color="auto"/>
        <w:right w:val="none" w:sz="0" w:space="0" w:color="auto"/>
      </w:divBdr>
    </w:div>
    <w:div w:id="411511443">
      <w:bodyDiv w:val="1"/>
      <w:marLeft w:val="0"/>
      <w:marRight w:val="0"/>
      <w:marTop w:val="0"/>
      <w:marBottom w:val="0"/>
      <w:divBdr>
        <w:top w:val="none" w:sz="0" w:space="0" w:color="auto"/>
        <w:left w:val="none" w:sz="0" w:space="0" w:color="auto"/>
        <w:bottom w:val="none" w:sz="0" w:space="0" w:color="auto"/>
        <w:right w:val="none" w:sz="0" w:space="0" w:color="auto"/>
      </w:divBdr>
      <w:divsChild>
        <w:div w:id="941455169">
          <w:marLeft w:val="0"/>
          <w:marRight w:val="0"/>
          <w:marTop w:val="0"/>
          <w:marBottom w:val="0"/>
          <w:divBdr>
            <w:top w:val="none" w:sz="0" w:space="0" w:color="auto"/>
            <w:left w:val="none" w:sz="0" w:space="0" w:color="auto"/>
            <w:bottom w:val="none" w:sz="0" w:space="0" w:color="auto"/>
            <w:right w:val="none" w:sz="0" w:space="0" w:color="auto"/>
          </w:divBdr>
          <w:divsChild>
            <w:div w:id="39744415">
              <w:marLeft w:val="0"/>
              <w:marRight w:val="0"/>
              <w:marTop w:val="0"/>
              <w:marBottom w:val="0"/>
              <w:divBdr>
                <w:top w:val="none" w:sz="0" w:space="0" w:color="auto"/>
                <w:left w:val="none" w:sz="0" w:space="0" w:color="auto"/>
                <w:bottom w:val="none" w:sz="0" w:space="0" w:color="auto"/>
                <w:right w:val="none" w:sz="0" w:space="0" w:color="auto"/>
              </w:divBdr>
              <w:divsChild>
                <w:div w:id="64843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05751">
      <w:bodyDiv w:val="1"/>
      <w:marLeft w:val="0"/>
      <w:marRight w:val="0"/>
      <w:marTop w:val="0"/>
      <w:marBottom w:val="0"/>
      <w:divBdr>
        <w:top w:val="none" w:sz="0" w:space="0" w:color="auto"/>
        <w:left w:val="none" w:sz="0" w:space="0" w:color="auto"/>
        <w:bottom w:val="none" w:sz="0" w:space="0" w:color="auto"/>
        <w:right w:val="none" w:sz="0" w:space="0" w:color="auto"/>
      </w:divBdr>
      <w:divsChild>
        <w:div w:id="218830580">
          <w:marLeft w:val="0"/>
          <w:marRight w:val="0"/>
          <w:marTop w:val="0"/>
          <w:marBottom w:val="0"/>
          <w:divBdr>
            <w:top w:val="none" w:sz="0" w:space="0" w:color="auto"/>
            <w:left w:val="none" w:sz="0" w:space="0" w:color="auto"/>
            <w:bottom w:val="none" w:sz="0" w:space="0" w:color="auto"/>
            <w:right w:val="none" w:sz="0" w:space="0" w:color="auto"/>
          </w:divBdr>
          <w:divsChild>
            <w:div w:id="1153137583">
              <w:marLeft w:val="0"/>
              <w:marRight w:val="0"/>
              <w:marTop w:val="0"/>
              <w:marBottom w:val="0"/>
              <w:divBdr>
                <w:top w:val="none" w:sz="0" w:space="0" w:color="auto"/>
                <w:left w:val="none" w:sz="0" w:space="0" w:color="auto"/>
                <w:bottom w:val="none" w:sz="0" w:space="0" w:color="auto"/>
                <w:right w:val="none" w:sz="0" w:space="0" w:color="auto"/>
              </w:divBdr>
              <w:divsChild>
                <w:div w:id="111217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204332">
      <w:bodyDiv w:val="1"/>
      <w:marLeft w:val="0"/>
      <w:marRight w:val="0"/>
      <w:marTop w:val="0"/>
      <w:marBottom w:val="0"/>
      <w:divBdr>
        <w:top w:val="none" w:sz="0" w:space="0" w:color="auto"/>
        <w:left w:val="none" w:sz="0" w:space="0" w:color="auto"/>
        <w:bottom w:val="none" w:sz="0" w:space="0" w:color="auto"/>
        <w:right w:val="none" w:sz="0" w:space="0" w:color="auto"/>
      </w:divBdr>
    </w:div>
    <w:div w:id="476652237">
      <w:bodyDiv w:val="1"/>
      <w:marLeft w:val="0"/>
      <w:marRight w:val="0"/>
      <w:marTop w:val="0"/>
      <w:marBottom w:val="0"/>
      <w:divBdr>
        <w:top w:val="none" w:sz="0" w:space="0" w:color="auto"/>
        <w:left w:val="none" w:sz="0" w:space="0" w:color="auto"/>
        <w:bottom w:val="none" w:sz="0" w:space="0" w:color="auto"/>
        <w:right w:val="none" w:sz="0" w:space="0" w:color="auto"/>
      </w:divBdr>
      <w:divsChild>
        <w:div w:id="2141879699">
          <w:marLeft w:val="0"/>
          <w:marRight w:val="0"/>
          <w:marTop w:val="0"/>
          <w:marBottom w:val="0"/>
          <w:divBdr>
            <w:top w:val="none" w:sz="0" w:space="0" w:color="auto"/>
            <w:left w:val="none" w:sz="0" w:space="0" w:color="auto"/>
            <w:bottom w:val="none" w:sz="0" w:space="0" w:color="auto"/>
            <w:right w:val="none" w:sz="0" w:space="0" w:color="auto"/>
          </w:divBdr>
          <w:divsChild>
            <w:div w:id="1304654963">
              <w:marLeft w:val="0"/>
              <w:marRight w:val="0"/>
              <w:marTop w:val="0"/>
              <w:marBottom w:val="0"/>
              <w:divBdr>
                <w:top w:val="none" w:sz="0" w:space="0" w:color="auto"/>
                <w:left w:val="none" w:sz="0" w:space="0" w:color="auto"/>
                <w:bottom w:val="none" w:sz="0" w:space="0" w:color="auto"/>
                <w:right w:val="none" w:sz="0" w:space="0" w:color="auto"/>
              </w:divBdr>
              <w:divsChild>
                <w:div w:id="11822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11611">
      <w:bodyDiv w:val="1"/>
      <w:marLeft w:val="0"/>
      <w:marRight w:val="0"/>
      <w:marTop w:val="0"/>
      <w:marBottom w:val="0"/>
      <w:divBdr>
        <w:top w:val="none" w:sz="0" w:space="0" w:color="auto"/>
        <w:left w:val="none" w:sz="0" w:space="0" w:color="auto"/>
        <w:bottom w:val="none" w:sz="0" w:space="0" w:color="auto"/>
        <w:right w:val="none" w:sz="0" w:space="0" w:color="auto"/>
      </w:divBdr>
      <w:divsChild>
        <w:div w:id="1061831175">
          <w:marLeft w:val="0"/>
          <w:marRight w:val="0"/>
          <w:marTop w:val="0"/>
          <w:marBottom w:val="0"/>
          <w:divBdr>
            <w:top w:val="none" w:sz="0" w:space="0" w:color="auto"/>
            <w:left w:val="none" w:sz="0" w:space="0" w:color="auto"/>
            <w:bottom w:val="none" w:sz="0" w:space="0" w:color="auto"/>
            <w:right w:val="none" w:sz="0" w:space="0" w:color="auto"/>
          </w:divBdr>
          <w:divsChild>
            <w:div w:id="1725330942">
              <w:marLeft w:val="0"/>
              <w:marRight w:val="0"/>
              <w:marTop w:val="0"/>
              <w:marBottom w:val="0"/>
              <w:divBdr>
                <w:top w:val="none" w:sz="0" w:space="0" w:color="auto"/>
                <w:left w:val="none" w:sz="0" w:space="0" w:color="auto"/>
                <w:bottom w:val="none" w:sz="0" w:space="0" w:color="auto"/>
                <w:right w:val="none" w:sz="0" w:space="0" w:color="auto"/>
              </w:divBdr>
              <w:divsChild>
                <w:div w:id="1030179291">
                  <w:marLeft w:val="0"/>
                  <w:marRight w:val="0"/>
                  <w:marTop w:val="0"/>
                  <w:marBottom w:val="0"/>
                  <w:divBdr>
                    <w:top w:val="none" w:sz="0" w:space="0" w:color="auto"/>
                    <w:left w:val="none" w:sz="0" w:space="0" w:color="auto"/>
                    <w:bottom w:val="none" w:sz="0" w:space="0" w:color="auto"/>
                    <w:right w:val="none" w:sz="0" w:space="0" w:color="auto"/>
                  </w:divBdr>
                  <w:divsChild>
                    <w:div w:id="20772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292818">
      <w:bodyDiv w:val="1"/>
      <w:marLeft w:val="0"/>
      <w:marRight w:val="0"/>
      <w:marTop w:val="0"/>
      <w:marBottom w:val="0"/>
      <w:divBdr>
        <w:top w:val="none" w:sz="0" w:space="0" w:color="auto"/>
        <w:left w:val="none" w:sz="0" w:space="0" w:color="auto"/>
        <w:bottom w:val="none" w:sz="0" w:space="0" w:color="auto"/>
        <w:right w:val="none" w:sz="0" w:space="0" w:color="auto"/>
      </w:divBdr>
    </w:div>
    <w:div w:id="507870313">
      <w:bodyDiv w:val="1"/>
      <w:marLeft w:val="0"/>
      <w:marRight w:val="0"/>
      <w:marTop w:val="0"/>
      <w:marBottom w:val="0"/>
      <w:divBdr>
        <w:top w:val="none" w:sz="0" w:space="0" w:color="auto"/>
        <w:left w:val="none" w:sz="0" w:space="0" w:color="auto"/>
        <w:bottom w:val="none" w:sz="0" w:space="0" w:color="auto"/>
        <w:right w:val="none" w:sz="0" w:space="0" w:color="auto"/>
      </w:divBdr>
    </w:div>
    <w:div w:id="508763472">
      <w:bodyDiv w:val="1"/>
      <w:marLeft w:val="0"/>
      <w:marRight w:val="0"/>
      <w:marTop w:val="0"/>
      <w:marBottom w:val="0"/>
      <w:divBdr>
        <w:top w:val="none" w:sz="0" w:space="0" w:color="auto"/>
        <w:left w:val="none" w:sz="0" w:space="0" w:color="auto"/>
        <w:bottom w:val="none" w:sz="0" w:space="0" w:color="auto"/>
        <w:right w:val="none" w:sz="0" w:space="0" w:color="auto"/>
      </w:divBdr>
    </w:div>
    <w:div w:id="517236869">
      <w:bodyDiv w:val="1"/>
      <w:marLeft w:val="0"/>
      <w:marRight w:val="0"/>
      <w:marTop w:val="0"/>
      <w:marBottom w:val="0"/>
      <w:divBdr>
        <w:top w:val="none" w:sz="0" w:space="0" w:color="auto"/>
        <w:left w:val="none" w:sz="0" w:space="0" w:color="auto"/>
        <w:bottom w:val="none" w:sz="0" w:space="0" w:color="auto"/>
        <w:right w:val="none" w:sz="0" w:space="0" w:color="auto"/>
      </w:divBdr>
    </w:div>
    <w:div w:id="575818969">
      <w:bodyDiv w:val="1"/>
      <w:marLeft w:val="0"/>
      <w:marRight w:val="0"/>
      <w:marTop w:val="0"/>
      <w:marBottom w:val="0"/>
      <w:divBdr>
        <w:top w:val="none" w:sz="0" w:space="0" w:color="auto"/>
        <w:left w:val="none" w:sz="0" w:space="0" w:color="auto"/>
        <w:bottom w:val="none" w:sz="0" w:space="0" w:color="auto"/>
        <w:right w:val="none" w:sz="0" w:space="0" w:color="auto"/>
      </w:divBdr>
      <w:divsChild>
        <w:div w:id="1331906172">
          <w:marLeft w:val="0"/>
          <w:marRight w:val="0"/>
          <w:marTop w:val="0"/>
          <w:marBottom w:val="0"/>
          <w:divBdr>
            <w:top w:val="none" w:sz="0" w:space="0" w:color="auto"/>
            <w:left w:val="none" w:sz="0" w:space="0" w:color="auto"/>
            <w:bottom w:val="none" w:sz="0" w:space="0" w:color="auto"/>
            <w:right w:val="none" w:sz="0" w:space="0" w:color="auto"/>
          </w:divBdr>
          <w:divsChild>
            <w:div w:id="1397045122">
              <w:marLeft w:val="0"/>
              <w:marRight w:val="0"/>
              <w:marTop w:val="0"/>
              <w:marBottom w:val="0"/>
              <w:divBdr>
                <w:top w:val="none" w:sz="0" w:space="0" w:color="auto"/>
                <w:left w:val="none" w:sz="0" w:space="0" w:color="auto"/>
                <w:bottom w:val="none" w:sz="0" w:space="0" w:color="auto"/>
                <w:right w:val="none" w:sz="0" w:space="0" w:color="auto"/>
              </w:divBdr>
              <w:divsChild>
                <w:div w:id="1425952555">
                  <w:marLeft w:val="0"/>
                  <w:marRight w:val="0"/>
                  <w:marTop w:val="0"/>
                  <w:marBottom w:val="0"/>
                  <w:divBdr>
                    <w:top w:val="none" w:sz="0" w:space="0" w:color="auto"/>
                    <w:left w:val="none" w:sz="0" w:space="0" w:color="auto"/>
                    <w:bottom w:val="none" w:sz="0" w:space="0" w:color="auto"/>
                    <w:right w:val="none" w:sz="0" w:space="0" w:color="auto"/>
                  </w:divBdr>
                </w:div>
              </w:divsChild>
            </w:div>
            <w:div w:id="1592933736">
              <w:marLeft w:val="0"/>
              <w:marRight w:val="0"/>
              <w:marTop w:val="0"/>
              <w:marBottom w:val="0"/>
              <w:divBdr>
                <w:top w:val="none" w:sz="0" w:space="0" w:color="auto"/>
                <w:left w:val="none" w:sz="0" w:space="0" w:color="auto"/>
                <w:bottom w:val="none" w:sz="0" w:space="0" w:color="auto"/>
                <w:right w:val="none" w:sz="0" w:space="0" w:color="auto"/>
              </w:divBdr>
              <w:divsChild>
                <w:div w:id="564683298">
                  <w:marLeft w:val="0"/>
                  <w:marRight w:val="0"/>
                  <w:marTop w:val="0"/>
                  <w:marBottom w:val="0"/>
                  <w:divBdr>
                    <w:top w:val="none" w:sz="0" w:space="0" w:color="auto"/>
                    <w:left w:val="none" w:sz="0" w:space="0" w:color="auto"/>
                    <w:bottom w:val="none" w:sz="0" w:space="0" w:color="auto"/>
                    <w:right w:val="none" w:sz="0" w:space="0" w:color="auto"/>
                  </w:divBdr>
                </w:div>
              </w:divsChild>
            </w:div>
            <w:div w:id="31542983">
              <w:marLeft w:val="0"/>
              <w:marRight w:val="0"/>
              <w:marTop w:val="0"/>
              <w:marBottom w:val="0"/>
              <w:divBdr>
                <w:top w:val="none" w:sz="0" w:space="0" w:color="auto"/>
                <w:left w:val="none" w:sz="0" w:space="0" w:color="auto"/>
                <w:bottom w:val="none" w:sz="0" w:space="0" w:color="auto"/>
                <w:right w:val="none" w:sz="0" w:space="0" w:color="auto"/>
              </w:divBdr>
              <w:divsChild>
                <w:div w:id="126807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786653">
      <w:bodyDiv w:val="1"/>
      <w:marLeft w:val="0"/>
      <w:marRight w:val="0"/>
      <w:marTop w:val="0"/>
      <w:marBottom w:val="0"/>
      <w:divBdr>
        <w:top w:val="none" w:sz="0" w:space="0" w:color="auto"/>
        <w:left w:val="none" w:sz="0" w:space="0" w:color="auto"/>
        <w:bottom w:val="none" w:sz="0" w:space="0" w:color="auto"/>
        <w:right w:val="none" w:sz="0" w:space="0" w:color="auto"/>
      </w:divBdr>
      <w:divsChild>
        <w:div w:id="539439131">
          <w:marLeft w:val="0"/>
          <w:marRight w:val="0"/>
          <w:marTop w:val="0"/>
          <w:marBottom w:val="0"/>
          <w:divBdr>
            <w:top w:val="none" w:sz="0" w:space="0" w:color="auto"/>
            <w:left w:val="none" w:sz="0" w:space="0" w:color="auto"/>
            <w:bottom w:val="none" w:sz="0" w:space="0" w:color="auto"/>
            <w:right w:val="none" w:sz="0" w:space="0" w:color="auto"/>
          </w:divBdr>
          <w:divsChild>
            <w:div w:id="1869223575">
              <w:marLeft w:val="0"/>
              <w:marRight w:val="0"/>
              <w:marTop w:val="0"/>
              <w:marBottom w:val="0"/>
              <w:divBdr>
                <w:top w:val="none" w:sz="0" w:space="0" w:color="auto"/>
                <w:left w:val="none" w:sz="0" w:space="0" w:color="auto"/>
                <w:bottom w:val="none" w:sz="0" w:space="0" w:color="auto"/>
                <w:right w:val="none" w:sz="0" w:space="0" w:color="auto"/>
              </w:divBdr>
              <w:divsChild>
                <w:div w:id="202127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449252">
      <w:bodyDiv w:val="1"/>
      <w:marLeft w:val="0"/>
      <w:marRight w:val="0"/>
      <w:marTop w:val="0"/>
      <w:marBottom w:val="0"/>
      <w:divBdr>
        <w:top w:val="none" w:sz="0" w:space="0" w:color="auto"/>
        <w:left w:val="none" w:sz="0" w:space="0" w:color="auto"/>
        <w:bottom w:val="none" w:sz="0" w:space="0" w:color="auto"/>
        <w:right w:val="none" w:sz="0" w:space="0" w:color="auto"/>
      </w:divBdr>
      <w:divsChild>
        <w:div w:id="916939524">
          <w:marLeft w:val="0"/>
          <w:marRight w:val="0"/>
          <w:marTop w:val="0"/>
          <w:marBottom w:val="0"/>
          <w:divBdr>
            <w:top w:val="none" w:sz="0" w:space="0" w:color="auto"/>
            <w:left w:val="none" w:sz="0" w:space="0" w:color="auto"/>
            <w:bottom w:val="none" w:sz="0" w:space="0" w:color="auto"/>
            <w:right w:val="none" w:sz="0" w:space="0" w:color="auto"/>
          </w:divBdr>
          <w:divsChild>
            <w:div w:id="104465860">
              <w:marLeft w:val="0"/>
              <w:marRight w:val="0"/>
              <w:marTop w:val="0"/>
              <w:marBottom w:val="0"/>
              <w:divBdr>
                <w:top w:val="none" w:sz="0" w:space="0" w:color="auto"/>
                <w:left w:val="none" w:sz="0" w:space="0" w:color="auto"/>
                <w:bottom w:val="none" w:sz="0" w:space="0" w:color="auto"/>
                <w:right w:val="none" w:sz="0" w:space="0" w:color="auto"/>
              </w:divBdr>
              <w:divsChild>
                <w:div w:id="1093209906">
                  <w:marLeft w:val="0"/>
                  <w:marRight w:val="0"/>
                  <w:marTop w:val="0"/>
                  <w:marBottom w:val="0"/>
                  <w:divBdr>
                    <w:top w:val="none" w:sz="0" w:space="0" w:color="auto"/>
                    <w:left w:val="none" w:sz="0" w:space="0" w:color="auto"/>
                    <w:bottom w:val="none" w:sz="0" w:space="0" w:color="auto"/>
                    <w:right w:val="none" w:sz="0" w:space="0" w:color="auto"/>
                  </w:divBdr>
                </w:div>
              </w:divsChild>
            </w:div>
            <w:div w:id="706876995">
              <w:marLeft w:val="0"/>
              <w:marRight w:val="0"/>
              <w:marTop w:val="0"/>
              <w:marBottom w:val="0"/>
              <w:divBdr>
                <w:top w:val="none" w:sz="0" w:space="0" w:color="auto"/>
                <w:left w:val="none" w:sz="0" w:space="0" w:color="auto"/>
                <w:bottom w:val="none" w:sz="0" w:space="0" w:color="auto"/>
                <w:right w:val="none" w:sz="0" w:space="0" w:color="auto"/>
              </w:divBdr>
              <w:divsChild>
                <w:div w:id="1127239663">
                  <w:marLeft w:val="0"/>
                  <w:marRight w:val="0"/>
                  <w:marTop w:val="0"/>
                  <w:marBottom w:val="0"/>
                  <w:divBdr>
                    <w:top w:val="none" w:sz="0" w:space="0" w:color="auto"/>
                    <w:left w:val="none" w:sz="0" w:space="0" w:color="auto"/>
                    <w:bottom w:val="none" w:sz="0" w:space="0" w:color="auto"/>
                    <w:right w:val="none" w:sz="0" w:space="0" w:color="auto"/>
                  </w:divBdr>
                </w:div>
              </w:divsChild>
            </w:div>
            <w:div w:id="1692292663">
              <w:marLeft w:val="0"/>
              <w:marRight w:val="0"/>
              <w:marTop w:val="0"/>
              <w:marBottom w:val="0"/>
              <w:divBdr>
                <w:top w:val="none" w:sz="0" w:space="0" w:color="auto"/>
                <w:left w:val="none" w:sz="0" w:space="0" w:color="auto"/>
                <w:bottom w:val="none" w:sz="0" w:space="0" w:color="auto"/>
                <w:right w:val="none" w:sz="0" w:space="0" w:color="auto"/>
              </w:divBdr>
              <w:divsChild>
                <w:div w:id="63625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174761">
      <w:bodyDiv w:val="1"/>
      <w:marLeft w:val="0"/>
      <w:marRight w:val="0"/>
      <w:marTop w:val="0"/>
      <w:marBottom w:val="0"/>
      <w:divBdr>
        <w:top w:val="none" w:sz="0" w:space="0" w:color="auto"/>
        <w:left w:val="none" w:sz="0" w:space="0" w:color="auto"/>
        <w:bottom w:val="none" w:sz="0" w:space="0" w:color="auto"/>
        <w:right w:val="none" w:sz="0" w:space="0" w:color="auto"/>
      </w:divBdr>
      <w:divsChild>
        <w:div w:id="1000279782">
          <w:marLeft w:val="0"/>
          <w:marRight w:val="0"/>
          <w:marTop w:val="0"/>
          <w:marBottom w:val="0"/>
          <w:divBdr>
            <w:top w:val="none" w:sz="0" w:space="0" w:color="auto"/>
            <w:left w:val="none" w:sz="0" w:space="0" w:color="auto"/>
            <w:bottom w:val="none" w:sz="0" w:space="0" w:color="auto"/>
            <w:right w:val="none" w:sz="0" w:space="0" w:color="auto"/>
          </w:divBdr>
          <w:divsChild>
            <w:div w:id="2009555209">
              <w:marLeft w:val="0"/>
              <w:marRight w:val="0"/>
              <w:marTop w:val="0"/>
              <w:marBottom w:val="0"/>
              <w:divBdr>
                <w:top w:val="none" w:sz="0" w:space="0" w:color="auto"/>
                <w:left w:val="none" w:sz="0" w:space="0" w:color="auto"/>
                <w:bottom w:val="none" w:sz="0" w:space="0" w:color="auto"/>
                <w:right w:val="none" w:sz="0" w:space="0" w:color="auto"/>
              </w:divBdr>
              <w:divsChild>
                <w:div w:id="185849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734963">
      <w:bodyDiv w:val="1"/>
      <w:marLeft w:val="0"/>
      <w:marRight w:val="0"/>
      <w:marTop w:val="0"/>
      <w:marBottom w:val="0"/>
      <w:divBdr>
        <w:top w:val="none" w:sz="0" w:space="0" w:color="auto"/>
        <w:left w:val="none" w:sz="0" w:space="0" w:color="auto"/>
        <w:bottom w:val="none" w:sz="0" w:space="0" w:color="auto"/>
        <w:right w:val="none" w:sz="0" w:space="0" w:color="auto"/>
      </w:divBdr>
      <w:divsChild>
        <w:div w:id="701636001">
          <w:marLeft w:val="0"/>
          <w:marRight w:val="0"/>
          <w:marTop w:val="0"/>
          <w:marBottom w:val="0"/>
          <w:divBdr>
            <w:top w:val="none" w:sz="0" w:space="0" w:color="auto"/>
            <w:left w:val="none" w:sz="0" w:space="0" w:color="auto"/>
            <w:bottom w:val="none" w:sz="0" w:space="0" w:color="auto"/>
            <w:right w:val="none" w:sz="0" w:space="0" w:color="auto"/>
          </w:divBdr>
          <w:divsChild>
            <w:div w:id="1237979902">
              <w:marLeft w:val="0"/>
              <w:marRight w:val="0"/>
              <w:marTop w:val="0"/>
              <w:marBottom w:val="0"/>
              <w:divBdr>
                <w:top w:val="none" w:sz="0" w:space="0" w:color="auto"/>
                <w:left w:val="none" w:sz="0" w:space="0" w:color="auto"/>
                <w:bottom w:val="none" w:sz="0" w:space="0" w:color="auto"/>
                <w:right w:val="none" w:sz="0" w:space="0" w:color="auto"/>
              </w:divBdr>
              <w:divsChild>
                <w:div w:id="185599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364480">
      <w:bodyDiv w:val="1"/>
      <w:marLeft w:val="0"/>
      <w:marRight w:val="0"/>
      <w:marTop w:val="0"/>
      <w:marBottom w:val="0"/>
      <w:divBdr>
        <w:top w:val="none" w:sz="0" w:space="0" w:color="auto"/>
        <w:left w:val="none" w:sz="0" w:space="0" w:color="auto"/>
        <w:bottom w:val="none" w:sz="0" w:space="0" w:color="auto"/>
        <w:right w:val="none" w:sz="0" w:space="0" w:color="auto"/>
      </w:divBdr>
    </w:div>
    <w:div w:id="687878282">
      <w:bodyDiv w:val="1"/>
      <w:marLeft w:val="0"/>
      <w:marRight w:val="0"/>
      <w:marTop w:val="0"/>
      <w:marBottom w:val="0"/>
      <w:divBdr>
        <w:top w:val="none" w:sz="0" w:space="0" w:color="auto"/>
        <w:left w:val="none" w:sz="0" w:space="0" w:color="auto"/>
        <w:bottom w:val="none" w:sz="0" w:space="0" w:color="auto"/>
        <w:right w:val="none" w:sz="0" w:space="0" w:color="auto"/>
      </w:divBdr>
    </w:div>
    <w:div w:id="700015289">
      <w:bodyDiv w:val="1"/>
      <w:marLeft w:val="0"/>
      <w:marRight w:val="0"/>
      <w:marTop w:val="0"/>
      <w:marBottom w:val="0"/>
      <w:divBdr>
        <w:top w:val="none" w:sz="0" w:space="0" w:color="auto"/>
        <w:left w:val="none" w:sz="0" w:space="0" w:color="auto"/>
        <w:bottom w:val="none" w:sz="0" w:space="0" w:color="auto"/>
        <w:right w:val="none" w:sz="0" w:space="0" w:color="auto"/>
      </w:divBdr>
    </w:div>
    <w:div w:id="702637851">
      <w:bodyDiv w:val="1"/>
      <w:marLeft w:val="0"/>
      <w:marRight w:val="0"/>
      <w:marTop w:val="0"/>
      <w:marBottom w:val="0"/>
      <w:divBdr>
        <w:top w:val="none" w:sz="0" w:space="0" w:color="auto"/>
        <w:left w:val="none" w:sz="0" w:space="0" w:color="auto"/>
        <w:bottom w:val="none" w:sz="0" w:space="0" w:color="auto"/>
        <w:right w:val="none" w:sz="0" w:space="0" w:color="auto"/>
      </w:divBdr>
      <w:divsChild>
        <w:div w:id="961376178">
          <w:marLeft w:val="0"/>
          <w:marRight w:val="0"/>
          <w:marTop w:val="0"/>
          <w:marBottom w:val="0"/>
          <w:divBdr>
            <w:top w:val="none" w:sz="0" w:space="0" w:color="auto"/>
            <w:left w:val="none" w:sz="0" w:space="0" w:color="auto"/>
            <w:bottom w:val="none" w:sz="0" w:space="0" w:color="auto"/>
            <w:right w:val="none" w:sz="0" w:space="0" w:color="auto"/>
          </w:divBdr>
          <w:divsChild>
            <w:div w:id="1948467186">
              <w:marLeft w:val="0"/>
              <w:marRight w:val="0"/>
              <w:marTop w:val="0"/>
              <w:marBottom w:val="0"/>
              <w:divBdr>
                <w:top w:val="none" w:sz="0" w:space="0" w:color="auto"/>
                <w:left w:val="none" w:sz="0" w:space="0" w:color="auto"/>
                <w:bottom w:val="none" w:sz="0" w:space="0" w:color="auto"/>
                <w:right w:val="none" w:sz="0" w:space="0" w:color="auto"/>
              </w:divBdr>
              <w:divsChild>
                <w:div w:id="178561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00419">
      <w:bodyDiv w:val="1"/>
      <w:marLeft w:val="0"/>
      <w:marRight w:val="0"/>
      <w:marTop w:val="0"/>
      <w:marBottom w:val="0"/>
      <w:divBdr>
        <w:top w:val="none" w:sz="0" w:space="0" w:color="auto"/>
        <w:left w:val="none" w:sz="0" w:space="0" w:color="auto"/>
        <w:bottom w:val="none" w:sz="0" w:space="0" w:color="auto"/>
        <w:right w:val="none" w:sz="0" w:space="0" w:color="auto"/>
      </w:divBdr>
    </w:div>
    <w:div w:id="718750390">
      <w:bodyDiv w:val="1"/>
      <w:marLeft w:val="0"/>
      <w:marRight w:val="0"/>
      <w:marTop w:val="0"/>
      <w:marBottom w:val="0"/>
      <w:divBdr>
        <w:top w:val="none" w:sz="0" w:space="0" w:color="auto"/>
        <w:left w:val="none" w:sz="0" w:space="0" w:color="auto"/>
        <w:bottom w:val="none" w:sz="0" w:space="0" w:color="auto"/>
        <w:right w:val="none" w:sz="0" w:space="0" w:color="auto"/>
      </w:divBdr>
      <w:divsChild>
        <w:div w:id="1828277995">
          <w:marLeft w:val="0"/>
          <w:marRight w:val="0"/>
          <w:marTop w:val="0"/>
          <w:marBottom w:val="0"/>
          <w:divBdr>
            <w:top w:val="none" w:sz="0" w:space="0" w:color="auto"/>
            <w:left w:val="none" w:sz="0" w:space="0" w:color="auto"/>
            <w:bottom w:val="none" w:sz="0" w:space="0" w:color="auto"/>
            <w:right w:val="none" w:sz="0" w:space="0" w:color="auto"/>
          </w:divBdr>
          <w:divsChild>
            <w:div w:id="1633904059">
              <w:marLeft w:val="0"/>
              <w:marRight w:val="0"/>
              <w:marTop w:val="0"/>
              <w:marBottom w:val="0"/>
              <w:divBdr>
                <w:top w:val="none" w:sz="0" w:space="0" w:color="auto"/>
                <w:left w:val="none" w:sz="0" w:space="0" w:color="auto"/>
                <w:bottom w:val="none" w:sz="0" w:space="0" w:color="auto"/>
                <w:right w:val="none" w:sz="0" w:space="0" w:color="auto"/>
              </w:divBdr>
              <w:divsChild>
                <w:div w:id="1772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423622">
      <w:bodyDiv w:val="1"/>
      <w:marLeft w:val="0"/>
      <w:marRight w:val="0"/>
      <w:marTop w:val="0"/>
      <w:marBottom w:val="0"/>
      <w:divBdr>
        <w:top w:val="none" w:sz="0" w:space="0" w:color="auto"/>
        <w:left w:val="none" w:sz="0" w:space="0" w:color="auto"/>
        <w:bottom w:val="none" w:sz="0" w:space="0" w:color="auto"/>
        <w:right w:val="none" w:sz="0" w:space="0" w:color="auto"/>
      </w:divBdr>
      <w:divsChild>
        <w:div w:id="1948075064">
          <w:marLeft w:val="0"/>
          <w:marRight w:val="0"/>
          <w:marTop w:val="0"/>
          <w:marBottom w:val="0"/>
          <w:divBdr>
            <w:top w:val="none" w:sz="0" w:space="0" w:color="auto"/>
            <w:left w:val="none" w:sz="0" w:space="0" w:color="auto"/>
            <w:bottom w:val="none" w:sz="0" w:space="0" w:color="auto"/>
            <w:right w:val="none" w:sz="0" w:space="0" w:color="auto"/>
          </w:divBdr>
          <w:divsChild>
            <w:div w:id="268008059">
              <w:marLeft w:val="0"/>
              <w:marRight w:val="0"/>
              <w:marTop w:val="0"/>
              <w:marBottom w:val="0"/>
              <w:divBdr>
                <w:top w:val="none" w:sz="0" w:space="0" w:color="auto"/>
                <w:left w:val="none" w:sz="0" w:space="0" w:color="auto"/>
                <w:bottom w:val="none" w:sz="0" w:space="0" w:color="auto"/>
                <w:right w:val="none" w:sz="0" w:space="0" w:color="auto"/>
              </w:divBdr>
              <w:divsChild>
                <w:div w:id="182107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59034">
      <w:bodyDiv w:val="1"/>
      <w:marLeft w:val="0"/>
      <w:marRight w:val="0"/>
      <w:marTop w:val="0"/>
      <w:marBottom w:val="0"/>
      <w:divBdr>
        <w:top w:val="none" w:sz="0" w:space="0" w:color="auto"/>
        <w:left w:val="none" w:sz="0" w:space="0" w:color="auto"/>
        <w:bottom w:val="none" w:sz="0" w:space="0" w:color="auto"/>
        <w:right w:val="none" w:sz="0" w:space="0" w:color="auto"/>
      </w:divBdr>
      <w:divsChild>
        <w:div w:id="1013916635">
          <w:marLeft w:val="0"/>
          <w:marRight w:val="0"/>
          <w:marTop w:val="0"/>
          <w:marBottom w:val="0"/>
          <w:divBdr>
            <w:top w:val="none" w:sz="0" w:space="0" w:color="auto"/>
            <w:left w:val="none" w:sz="0" w:space="0" w:color="auto"/>
            <w:bottom w:val="none" w:sz="0" w:space="0" w:color="auto"/>
            <w:right w:val="none" w:sz="0" w:space="0" w:color="auto"/>
          </w:divBdr>
        </w:div>
      </w:divsChild>
    </w:div>
    <w:div w:id="770275473">
      <w:bodyDiv w:val="1"/>
      <w:marLeft w:val="0"/>
      <w:marRight w:val="0"/>
      <w:marTop w:val="0"/>
      <w:marBottom w:val="0"/>
      <w:divBdr>
        <w:top w:val="none" w:sz="0" w:space="0" w:color="auto"/>
        <w:left w:val="none" w:sz="0" w:space="0" w:color="auto"/>
        <w:bottom w:val="none" w:sz="0" w:space="0" w:color="auto"/>
        <w:right w:val="none" w:sz="0" w:space="0" w:color="auto"/>
      </w:divBdr>
    </w:div>
    <w:div w:id="793475939">
      <w:bodyDiv w:val="1"/>
      <w:marLeft w:val="0"/>
      <w:marRight w:val="0"/>
      <w:marTop w:val="0"/>
      <w:marBottom w:val="0"/>
      <w:divBdr>
        <w:top w:val="none" w:sz="0" w:space="0" w:color="auto"/>
        <w:left w:val="none" w:sz="0" w:space="0" w:color="auto"/>
        <w:bottom w:val="none" w:sz="0" w:space="0" w:color="auto"/>
        <w:right w:val="none" w:sz="0" w:space="0" w:color="auto"/>
      </w:divBdr>
      <w:divsChild>
        <w:div w:id="714305875">
          <w:marLeft w:val="0"/>
          <w:marRight w:val="0"/>
          <w:marTop w:val="0"/>
          <w:marBottom w:val="0"/>
          <w:divBdr>
            <w:top w:val="none" w:sz="0" w:space="0" w:color="auto"/>
            <w:left w:val="none" w:sz="0" w:space="0" w:color="auto"/>
            <w:bottom w:val="none" w:sz="0" w:space="0" w:color="auto"/>
            <w:right w:val="none" w:sz="0" w:space="0" w:color="auto"/>
          </w:divBdr>
          <w:divsChild>
            <w:div w:id="580218518">
              <w:marLeft w:val="0"/>
              <w:marRight w:val="0"/>
              <w:marTop w:val="0"/>
              <w:marBottom w:val="0"/>
              <w:divBdr>
                <w:top w:val="none" w:sz="0" w:space="0" w:color="auto"/>
                <w:left w:val="none" w:sz="0" w:space="0" w:color="auto"/>
                <w:bottom w:val="none" w:sz="0" w:space="0" w:color="auto"/>
                <w:right w:val="none" w:sz="0" w:space="0" w:color="auto"/>
              </w:divBdr>
              <w:divsChild>
                <w:div w:id="13435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349304">
      <w:bodyDiv w:val="1"/>
      <w:marLeft w:val="0"/>
      <w:marRight w:val="0"/>
      <w:marTop w:val="0"/>
      <w:marBottom w:val="0"/>
      <w:divBdr>
        <w:top w:val="none" w:sz="0" w:space="0" w:color="auto"/>
        <w:left w:val="none" w:sz="0" w:space="0" w:color="auto"/>
        <w:bottom w:val="none" w:sz="0" w:space="0" w:color="auto"/>
        <w:right w:val="none" w:sz="0" w:space="0" w:color="auto"/>
      </w:divBdr>
      <w:divsChild>
        <w:div w:id="980235252">
          <w:marLeft w:val="0"/>
          <w:marRight w:val="0"/>
          <w:marTop w:val="0"/>
          <w:marBottom w:val="0"/>
          <w:divBdr>
            <w:top w:val="none" w:sz="0" w:space="0" w:color="auto"/>
            <w:left w:val="none" w:sz="0" w:space="0" w:color="auto"/>
            <w:bottom w:val="none" w:sz="0" w:space="0" w:color="auto"/>
            <w:right w:val="none" w:sz="0" w:space="0" w:color="auto"/>
          </w:divBdr>
          <w:divsChild>
            <w:div w:id="2108963469">
              <w:marLeft w:val="0"/>
              <w:marRight w:val="0"/>
              <w:marTop w:val="0"/>
              <w:marBottom w:val="0"/>
              <w:divBdr>
                <w:top w:val="none" w:sz="0" w:space="0" w:color="auto"/>
                <w:left w:val="none" w:sz="0" w:space="0" w:color="auto"/>
                <w:bottom w:val="none" w:sz="0" w:space="0" w:color="auto"/>
                <w:right w:val="none" w:sz="0" w:space="0" w:color="auto"/>
              </w:divBdr>
              <w:divsChild>
                <w:div w:id="3400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829059">
      <w:bodyDiv w:val="1"/>
      <w:marLeft w:val="0"/>
      <w:marRight w:val="0"/>
      <w:marTop w:val="0"/>
      <w:marBottom w:val="0"/>
      <w:divBdr>
        <w:top w:val="none" w:sz="0" w:space="0" w:color="auto"/>
        <w:left w:val="none" w:sz="0" w:space="0" w:color="auto"/>
        <w:bottom w:val="none" w:sz="0" w:space="0" w:color="auto"/>
        <w:right w:val="none" w:sz="0" w:space="0" w:color="auto"/>
      </w:divBdr>
    </w:div>
    <w:div w:id="812143890">
      <w:bodyDiv w:val="1"/>
      <w:marLeft w:val="0"/>
      <w:marRight w:val="0"/>
      <w:marTop w:val="0"/>
      <w:marBottom w:val="0"/>
      <w:divBdr>
        <w:top w:val="none" w:sz="0" w:space="0" w:color="auto"/>
        <w:left w:val="none" w:sz="0" w:space="0" w:color="auto"/>
        <w:bottom w:val="none" w:sz="0" w:space="0" w:color="auto"/>
        <w:right w:val="none" w:sz="0" w:space="0" w:color="auto"/>
      </w:divBdr>
    </w:div>
    <w:div w:id="816142778">
      <w:bodyDiv w:val="1"/>
      <w:marLeft w:val="0"/>
      <w:marRight w:val="0"/>
      <w:marTop w:val="0"/>
      <w:marBottom w:val="0"/>
      <w:divBdr>
        <w:top w:val="none" w:sz="0" w:space="0" w:color="auto"/>
        <w:left w:val="none" w:sz="0" w:space="0" w:color="auto"/>
        <w:bottom w:val="none" w:sz="0" w:space="0" w:color="auto"/>
        <w:right w:val="none" w:sz="0" w:space="0" w:color="auto"/>
      </w:divBdr>
      <w:divsChild>
        <w:div w:id="482703937">
          <w:marLeft w:val="0"/>
          <w:marRight w:val="0"/>
          <w:marTop w:val="0"/>
          <w:marBottom w:val="0"/>
          <w:divBdr>
            <w:top w:val="none" w:sz="0" w:space="0" w:color="auto"/>
            <w:left w:val="none" w:sz="0" w:space="0" w:color="auto"/>
            <w:bottom w:val="none" w:sz="0" w:space="0" w:color="auto"/>
            <w:right w:val="none" w:sz="0" w:space="0" w:color="auto"/>
          </w:divBdr>
          <w:divsChild>
            <w:div w:id="482115053">
              <w:marLeft w:val="0"/>
              <w:marRight w:val="0"/>
              <w:marTop w:val="0"/>
              <w:marBottom w:val="0"/>
              <w:divBdr>
                <w:top w:val="none" w:sz="0" w:space="0" w:color="auto"/>
                <w:left w:val="none" w:sz="0" w:space="0" w:color="auto"/>
                <w:bottom w:val="none" w:sz="0" w:space="0" w:color="auto"/>
                <w:right w:val="none" w:sz="0" w:space="0" w:color="auto"/>
              </w:divBdr>
              <w:divsChild>
                <w:div w:id="66941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73199">
      <w:bodyDiv w:val="1"/>
      <w:marLeft w:val="0"/>
      <w:marRight w:val="0"/>
      <w:marTop w:val="0"/>
      <w:marBottom w:val="0"/>
      <w:divBdr>
        <w:top w:val="none" w:sz="0" w:space="0" w:color="auto"/>
        <w:left w:val="none" w:sz="0" w:space="0" w:color="auto"/>
        <w:bottom w:val="none" w:sz="0" w:space="0" w:color="auto"/>
        <w:right w:val="none" w:sz="0" w:space="0" w:color="auto"/>
      </w:divBdr>
      <w:divsChild>
        <w:div w:id="1852404799">
          <w:marLeft w:val="0"/>
          <w:marRight w:val="0"/>
          <w:marTop w:val="0"/>
          <w:marBottom w:val="0"/>
          <w:divBdr>
            <w:top w:val="none" w:sz="0" w:space="0" w:color="auto"/>
            <w:left w:val="none" w:sz="0" w:space="0" w:color="auto"/>
            <w:bottom w:val="none" w:sz="0" w:space="0" w:color="auto"/>
            <w:right w:val="none" w:sz="0" w:space="0" w:color="auto"/>
          </w:divBdr>
          <w:divsChild>
            <w:div w:id="1983071817">
              <w:marLeft w:val="0"/>
              <w:marRight w:val="0"/>
              <w:marTop w:val="0"/>
              <w:marBottom w:val="0"/>
              <w:divBdr>
                <w:top w:val="none" w:sz="0" w:space="0" w:color="auto"/>
                <w:left w:val="none" w:sz="0" w:space="0" w:color="auto"/>
                <w:bottom w:val="none" w:sz="0" w:space="0" w:color="auto"/>
                <w:right w:val="none" w:sz="0" w:space="0" w:color="auto"/>
              </w:divBdr>
              <w:divsChild>
                <w:div w:id="31303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255773">
      <w:bodyDiv w:val="1"/>
      <w:marLeft w:val="0"/>
      <w:marRight w:val="0"/>
      <w:marTop w:val="0"/>
      <w:marBottom w:val="0"/>
      <w:divBdr>
        <w:top w:val="none" w:sz="0" w:space="0" w:color="auto"/>
        <w:left w:val="none" w:sz="0" w:space="0" w:color="auto"/>
        <w:bottom w:val="none" w:sz="0" w:space="0" w:color="auto"/>
        <w:right w:val="none" w:sz="0" w:space="0" w:color="auto"/>
      </w:divBdr>
    </w:div>
    <w:div w:id="834150194">
      <w:bodyDiv w:val="1"/>
      <w:marLeft w:val="0"/>
      <w:marRight w:val="0"/>
      <w:marTop w:val="0"/>
      <w:marBottom w:val="0"/>
      <w:divBdr>
        <w:top w:val="none" w:sz="0" w:space="0" w:color="auto"/>
        <w:left w:val="none" w:sz="0" w:space="0" w:color="auto"/>
        <w:bottom w:val="none" w:sz="0" w:space="0" w:color="auto"/>
        <w:right w:val="none" w:sz="0" w:space="0" w:color="auto"/>
      </w:divBdr>
    </w:div>
    <w:div w:id="842672399">
      <w:bodyDiv w:val="1"/>
      <w:marLeft w:val="0"/>
      <w:marRight w:val="0"/>
      <w:marTop w:val="0"/>
      <w:marBottom w:val="0"/>
      <w:divBdr>
        <w:top w:val="none" w:sz="0" w:space="0" w:color="auto"/>
        <w:left w:val="none" w:sz="0" w:space="0" w:color="auto"/>
        <w:bottom w:val="none" w:sz="0" w:space="0" w:color="auto"/>
        <w:right w:val="none" w:sz="0" w:space="0" w:color="auto"/>
      </w:divBdr>
      <w:divsChild>
        <w:div w:id="6835513">
          <w:marLeft w:val="0"/>
          <w:marRight w:val="0"/>
          <w:marTop w:val="0"/>
          <w:marBottom w:val="0"/>
          <w:divBdr>
            <w:top w:val="none" w:sz="0" w:space="0" w:color="auto"/>
            <w:left w:val="none" w:sz="0" w:space="0" w:color="auto"/>
            <w:bottom w:val="none" w:sz="0" w:space="0" w:color="auto"/>
            <w:right w:val="none" w:sz="0" w:space="0" w:color="auto"/>
          </w:divBdr>
          <w:divsChild>
            <w:div w:id="315884931">
              <w:marLeft w:val="0"/>
              <w:marRight w:val="0"/>
              <w:marTop w:val="0"/>
              <w:marBottom w:val="0"/>
              <w:divBdr>
                <w:top w:val="none" w:sz="0" w:space="0" w:color="auto"/>
                <w:left w:val="none" w:sz="0" w:space="0" w:color="auto"/>
                <w:bottom w:val="none" w:sz="0" w:space="0" w:color="auto"/>
                <w:right w:val="none" w:sz="0" w:space="0" w:color="auto"/>
              </w:divBdr>
              <w:divsChild>
                <w:div w:id="108588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705417">
      <w:bodyDiv w:val="1"/>
      <w:marLeft w:val="0"/>
      <w:marRight w:val="0"/>
      <w:marTop w:val="0"/>
      <w:marBottom w:val="0"/>
      <w:divBdr>
        <w:top w:val="none" w:sz="0" w:space="0" w:color="auto"/>
        <w:left w:val="none" w:sz="0" w:space="0" w:color="auto"/>
        <w:bottom w:val="none" w:sz="0" w:space="0" w:color="auto"/>
        <w:right w:val="none" w:sz="0" w:space="0" w:color="auto"/>
      </w:divBdr>
      <w:divsChild>
        <w:div w:id="1249079765">
          <w:marLeft w:val="0"/>
          <w:marRight w:val="0"/>
          <w:marTop w:val="0"/>
          <w:marBottom w:val="0"/>
          <w:divBdr>
            <w:top w:val="none" w:sz="0" w:space="0" w:color="auto"/>
            <w:left w:val="none" w:sz="0" w:space="0" w:color="auto"/>
            <w:bottom w:val="none" w:sz="0" w:space="0" w:color="auto"/>
            <w:right w:val="none" w:sz="0" w:space="0" w:color="auto"/>
          </w:divBdr>
          <w:divsChild>
            <w:div w:id="1075319804">
              <w:marLeft w:val="0"/>
              <w:marRight w:val="0"/>
              <w:marTop w:val="0"/>
              <w:marBottom w:val="0"/>
              <w:divBdr>
                <w:top w:val="none" w:sz="0" w:space="0" w:color="auto"/>
                <w:left w:val="none" w:sz="0" w:space="0" w:color="auto"/>
                <w:bottom w:val="none" w:sz="0" w:space="0" w:color="auto"/>
                <w:right w:val="none" w:sz="0" w:space="0" w:color="auto"/>
              </w:divBdr>
              <w:divsChild>
                <w:div w:id="113529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433418">
      <w:bodyDiv w:val="1"/>
      <w:marLeft w:val="0"/>
      <w:marRight w:val="0"/>
      <w:marTop w:val="0"/>
      <w:marBottom w:val="0"/>
      <w:divBdr>
        <w:top w:val="none" w:sz="0" w:space="0" w:color="auto"/>
        <w:left w:val="none" w:sz="0" w:space="0" w:color="auto"/>
        <w:bottom w:val="none" w:sz="0" w:space="0" w:color="auto"/>
        <w:right w:val="none" w:sz="0" w:space="0" w:color="auto"/>
      </w:divBdr>
    </w:div>
    <w:div w:id="907109045">
      <w:bodyDiv w:val="1"/>
      <w:marLeft w:val="0"/>
      <w:marRight w:val="0"/>
      <w:marTop w:val="0"/>
      <w:marBottom w:val="0"/>
      <w:divBdr>
        <w:top w:val="none" w:sz="0" w:space="0" w:color="auto"/>
        <w:left w:val="none" w:sz="0" w:space="0" w:color="auto"/>
        <w:bottom w:val="none" w:sz="0" w:space="0" w:color="auto"/>
        <w:right w:val="none" w:sz="0" w:space="0" w:color="auto"/>
      </w:divBdr>
      <w:divsChild>
        <w:div w:id="1466853852">
          <w:marLeft w:val="0"/>
          <w:marRight w:val="0"/>
          <w:marTop w:val="0"/>
          <w:marBottom w:val="0"/>
          <w:divBdr>
            <w:top w:val="none" w:sz="0" w:space="0" w:color="auto"/>
            <w:left w:val="none" w:sz="0" w:space="0" w:color="auto"/>
            <w:bottom w:val="none" w:sz="0" w:space="0" w:color="auto"/>
            <w:right w:val="none" w:sz="0" w:space="0" w:color="auto"/>
          </w:divBdr>
          <w:divsChild>
            <w:div w:id="133916057">
              <w:marLeft w:val="0"/>
              <w:marRight w:val="0"/>
              <w:marTop w:val="0"/>
              <w:marBottom w:val="0"/>
              <w:divBdr>
                <w:top w:val="none" w:sz="0" w:space="0" w:color="auto"/>
                <w:left w:val="none" w:sz="0" w:space="0" w:color="auto"/>
                <w:bottom w:val="none" w:sz="0" w:space="0" w:color="auto"/>
                <w:right w:val="none" w:sz="0" w:space="0" w:color="auto"/>
              </w:divBdr>
              <w:divsChild>
                <w:div w:id="2031032128">
                  <w:marLeft w:val="0"/>
                  <w:marRight w:val="0"/>
                  <w:marTop w:val="0"/>
                  <w:marBottom w:val="0"/>
                  <w:divBdr>
                    <w:top w:val="none" w:sz="0" w:space="0" w:color="auto"/>
                    <w:left w:val="none" w:sz="0" w:space="0" w:color="auto"/>
                    <w:bottom w:val="none" w:sz="0" w:space="0" w:color="auto"/>
                    <w:right w:val="none" w:sz="0" w:space="0" w:color="auto"/>
                  </w:divBdr>
                </w:div>
              </w:divsChild>
            </w:div>
            <w:div w:id="1064647403">
              <w:marLeft w:val="0"/>
              <w:marRight w:val="0"/>
              <w:marTop w:val="0"/>
              <w:marBottom w:val="0"/>
              <w:divBdr>
                <w:top w:val="none" w:sz="0" w:space="0" w:color="auto"/>
                <w:left w:val="none" w:sz="0" w:space="0" w:color="auto"/>
                <w:bottom w:val="none" w:sz="0" w:space="0" w:color="auto"/>
                <w:right w:val="none" w:sz="0" w:space="0" w:color="auto"/>
              </w:divBdr>
              <w:divsChild>
                <w:div w:id="884831068">
                  <w:marLeft w:val="0"/>
                  <w:marRight w:val="0"/>
                  <w:marTop w:val="0"/>
                  <w:marBottom w:val="0"/>
                  <w:divBdr>
                    <w:top w:val="none" w:sz="0" w:space="0" w:color="auto"/>
                    <w:left w:val="none" w:sz="0" w:space="0" w:color="auto"/>
                    <w:bottom w:val="none" w:sz="0" w:space="0" w:color="auto"/>
                    <w:right w:val="none" w:sz="0" w:space="0" w:color="auto"/>
                  </w:divBdr>
                </w:div>
              </w:divsChild>
            </w:div>
            <w:div w:id="1050227858">
              <w:marLeft w:val="0"/>
              <w:marRight w:val="0"/>
              <w:marTop w:val="0"/>
              <w:marBottom w:val="0"/>
              <w:divBdr>
                <w:top w:val="none" w:sz="0" w:space="0" w:color="auto"/>
                <w:left w:val="none" w:sz="0" w:space="0" w:color="auto"/>
                <w:bottom w:val="none" w:sz="0" w:space="0" w:color="auto"/>
                <w:right w:val="none" w:sz="0" w:space="0" w:color="auto"/>
              </w:divBdr>
              <w:divsChild>
                <w:div w:id="140498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03817">
      <w:bodyDiv w:val="1"/>
      <w:marLeft w:val="0"/>
      <w:marRight w:val="0"/>
      <w:marTop w:val="0"/>
      <w:marBottom w:val="0"/>
      <w:divBdr>
        <w:top w:val="none" w:sz="0" w:space="0" w:color="auto"/>
        <w:left w:val="none" w:sz="0" w:space="0" w:color="auto"/>
        <w:bottom w:val="none" w:sz="0" w:space="0" w:color="auto"/>
        <w:right w:val="none" w:sz="0" w:space="0" w:color="auto"/>
      </w:divBdr>
    </w:div>
    <w:div w:id="929850887">
      <w:bodyDiv w:val="1"/>
      <w:marLeft w:val="0"/>
      <w:marRight w:val="0"/>
      <w:marTop w:val="0"/>
      <w:marBottom w:val="0"/>
      <w:divBdr>
        <w:top w:val="none" w:sz="0" w:space="0" w:color="auto"/>
        <w:left w:val="none" w:sz="0" w:space="0" w:color="auto"/>
        <w:bottom w:val="none" w:sz="0" w:space="0" w:color="auto"/>
        <w:right w:val="none" w:sz="0" w:space="0" w:color="auto"/>
      </w:divBdr>
      <w:divsChild>
        <w:div w:id="1700158721">
          <w:marLeft w:val="0"/>
          <w:marRight w:val="0"/>
          <w:marTop w:val="0"/>
          <w:marBottom w:val="0"/>
          <w:divBdr>
            <w:top w:val="none" w:sz="0" w:space="0" w:color="auto"/>
            <w:left w:val="none" w:sz="0" w:space="0" w:color="auto"/>
            <w:bottom w:val="none" w:sz="0" w:space="0" w:color="auto"/>
            <w:right w:val="none" w:sz="0" w:space="0" w:color="auto"/>
          </w:divBdr>
        </w:div>
        <w:div w:id="158547880">
          <w:marLeft w:val="0"/>
          <w:marRight w:val="0"/>
          <w:marTop w:val="0"/>
          <w:marBottom w:val="0"/>
          <w:divBdr>
            <w:top w:val="none" w:sz="0" w:space="0" w:color="auto"/>
            <w:left w:val="none" w:sz="0" w:space="0" w:color="auto"/>
            <w:bottom w:val="none" w:sz="0" w:space="0" w:color="auto"/>
            <w:right w:val="none" w:sz="0" w:space="0" w:color="auto"/>
          </w:divBdr>
        </w:div>
      </w:divsChild>
    </w:div>
    <w:div w:id="930701040">
      <w:bodyDiv w:val="1"/>
      <w:marLeft w:val="0"/>
      <w:marRight w:val="0"/>
      <w:marTop w:val="0"/>
      <w:marBottom w:val="0"/>
      <w:divBdr>
        <w:top w:val="none" w:sz="0" w:space="0" w:color="auto"/>
        <w:left w:val="none" w:sz="0" w:space="0" w:color="auto"/>
        <w:bottom w:val="none" w:sz="0" w:space="0" w:color="auto"/>
        <w:right w:val="none" w:sz="0" w:space="0" w:color="auto"/>
      </w:divBdr>
    </w:div>
    <w:div w:id="949555004">
      <w:bodyDiv w:val="1"/>
      <w:marLeft w:val="0"/>
      <w:marRight w:val="0"/>
      <w:marTop w:val="0"/>
      <w:marBottom w:val="0"/>
      <w:divBdr>
        <w:top w:val="none" w:sz="0" w:space="0" w:color="auto"/>
        <w:left w:val="none" w:sz="0" w:space="0" w:color="auto"/>
        <w:bottom w:val="none" w:sz="0" w:space="0" w:color="auto"/>
        <w:right w:val="none" w:sz="0" w:space="0" w:color="auto"/>
      </w:divBdr>
    </w:div>
    <w:div w:id="952443626">
      <w:bodyDiv w:val="1"/>
      <w:marLeft w:val="0"/>
      <w:marRight w:val="0"/>
      <w:marTop w:val="0"/>
      <w:marBottom w:val="0"/>
      <w:divBdr>
        <w:top w:val="none" w:sz="0" w:space="0" w:color="auto"/>
        <w:left w:val="none" w:sz="0" w:space="0" w:color="auto"/>
        <w:bottom w:val="none" w:sz="0" w:space="0" w:color="auto"/>
        <w:right w:val="none" w:sz="0" w:space="0" w:color="auto"/>
      </w:divBdr>
      <w:divsChild>
        <w:div w:id="1434278606">
          <w:marLeft w:val="0"/>
          <w:marRight w:val="0"/>
          <w:marTop w:val="0"/>
          <w:marBottom w:val="0"/>
          <w:divBdr>
            <w:top w:val="none" w:sz="0" w:space="0" w:color="auto"/>
            <w:left w:val="none" w:sz="0" w:space="0" w:color="auto"/>
            <w:bottom w:val="none" w:sz="0" w:space="0" w:color="auto"/>
            <w:right w:val="none" w:sz="0" w:space="0" w:color="auto"/>
          </w:divBdr>
          <w:divsChild>
            <w:div w:id="2123840882">
              <w:marLeft w:val="0"/>
              <w:marRight w:val="0"/>
              <w:marTop w:val="0"/>
              <w:marBottom w:val="0"/>
              <w:divBdr>
                <w:top w:val="none" w:sz="0" w:space="0" w:color="auto"/>
                <w:left w:val="none" w:sz="0" w:space="0" w:color="auto"/>
                <w:bottom w:val="none" w:sz="0" w:space="0" w:color="auto"/>
                <w:right w:val="none" w:sz="0" w:space="0" w:color="auto"/>
              </w:divBdr>
              <w:divsChild>
                <w:div w:id="1754665244">
                  <w:marLeft w:val="0"/>
                  <w:marRight w:val="0"/>
                  <w:marTop w:val="0"/>
                  <w:marBottom w:val="0"/>
                  <w:divBdr>
                    <w:top w:val="none" w:sz="0" w:space="0" w:color="auto"/>
                    <w:left w:val="none" w:sz="0" w:space="0" w:color="auto"/>
                    <w:bottom w:val="none" w:sz="0" w:space="0" w:color="auto"/>
                    <w:right w:val="none" w:sz="0" w:space="0" w:color="auto"/>
                  </w:divBdr>
                  <w:divsChild>
                    <w:div w:id="133676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294438">
      <w:bodyDiv w:val="1"/>
      <w:marLeft w:val="0"/>
      <w:marRight w:val="0"/>
      <w:marTop w:val="0"/>
      <w:marBottom w:val="0"/>
      <w:divBdr>
        <w:top w:val="none" w:sz="0" w:space="0" w:color="auto"/>
        <w:left w:val="none" w:sz="0" w:space="0" w:color="auto"/>
        <w:bottom w:val="none" w:sz="0" w:space="0" w:color="auto"/>
        <w:right w:val="none" w:sz="0" w:space="0" w:color="auto"/>
      </w:divBdr>
    </w:div>
    <w:div w:id="962808332">
      <w:bodyDiv w:val="1"/>
      <w:marLeft w:val="0"/>
      <w:marRight w:val="0"/>
      <w:marTop w:val="0"/>
      <w:marBottom w:val="0"/>
      <w:divBdr>
        <w:top w:val="none" w:sz="0" w:space="0" w:color="auto"/>
        <w:left w:val="none" w:sz="0" w:space="0" w:color="auto"/>
        <w:bottom w:val="none" w:sz="0" w:space="0" w:color="auto"/>
        <w:right w:val="none" w:sz="0" w:space="0" w:color="auto"/>
      </w:divBdr>
      <w:divsChild>
        <w:div w:id="1379235349">
          <w:marLeft w:val="0"/>
          <w:marRight w:val="0"/>
          <w:marTop w:val="0"/>
          <w:marBottom w:val="0"/>
          <w:divBdr>
            <w:top w:val="none" w:sz="0" w:space="0" w:color="auto"/>
            <w:left w:val="none" w:sz="0" w:space="0" w:color="auto"/>
            <w:bottom w:val="none" w:sz="0" w:space="0" w:color="auto"/>
            <w:right w:val="none" w:sz="0" w:space="0" w:color="auto"/>
          </w:divBdr>
          <w:divsChild>
            <w:div w:id="1690060800">
              <w:marLeft w:val="0"/>
              <w:marRight w:val="0"/>
              <w:marTop w:val="0"/>
              <w:marBottom w:val="0"/>
              <w:divBdr>
                <w:top w:val="none" w:sz="0" w:space="0" w:color="auto"/>
                <w:left w:val="none" w:sz="0" w:space="0" w:color="auto"/>
                <w:bottom w:val="none" w:sz="0" w:space="0" w:color="auto"/>
                <w:right w:val="none" w:sz="0" w:space="0" w:color="auto"/>
              </w:divBdr>
              <w:divsChild>
                <w:div w:id="137966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15143">
      <w:bodyDiv w:val="1"/>
      <w:marLeft w:val="0"/>
      <w:marRight w:val="0"/>
      <w:marTop w:val="0"/>
      <w:marBottom w:val="0"/>
      <w:divBdr>
        <w:top w:val="none" w:sz="0" w:space="0" w:color="auto"/>
        <w:left w:val="none" w:sz="0" w:space="0" w:color="auto"/>
        <w:bottom w:val="none" w:sz="0" w:space="0" w:color="auto"/>
        <w:right w:val="none" w:sz="0" w:space="0" w:color="auto"/>
      </w:divBdr>
    </w:div>
    <w:div w:id="1003047079">
      <w:bodyDiv w:val="1"/>
      <w:marLeft w:val="0"/>
      <w:marRight w:val="0"/>
      <w:marTop w:val="0"/>
      <w:marBottom w:val="0"/>
      <w:divBdr>
        <w:top w:val="none" w:sz="0" w:space="0" w:color="auto"/>
        <w:left w:val="none" w:sz="0" w:space="0" w:color="auto"/>
        <w:bottom w:val="none" w:sz="0" w:space="0" w:color="auto"/>
        <w:right w:val="none" w:sz="0" w:space="0" w:color="auto"/>
      </w:divBdr>
    </w:div>
    <w:div w:id="1004935192">
      <w:bodyDiv w:val="1"/>
      <w:marLeft w:val="0"/>
      <w:marRight w:val="0"/>
      <w:marTop w:val="0"/>
      <w:marBottom w:val="0"/>
      <w:divBdr>
        <w:top w:val="none" w:sz="0" w:space="0" w:color="auto"/>
        <w:left w:val="none" w:sz="0" w:space="0" w:color="auto"/>
        <w:bottom w:val="none" w:sz="0" w:space="0" w:color="auto"/>
        <w:right w:val="none" w:sz="0" w:space="0" w:color="auto"/>
      </w:divBdr>
    </w:div>
    <w:div w:id="1017848820">
      <w:bodyDiv w:val="1"/>
      <w:marLeft w:val="0"/>
      <w:marRight w:val="0"/>
      <w:marTop w:val="0"/>
      <w:marBottom w:val="0"/>
      <w:divBdr>
        <w:top w:val="none" w:sz="0" w:space="0" w:color="auto"/>
        <w:left w:val="none" w:sz="0" w:space="0" w:color="auto"/>
        <w:bottom w:val="none" w:sz="0" w:space="0" w:color="auto"/>
        <w:right w:val="none" w:sz="0" w:space="0" w:color="auto"/>
      </w:divBdr>
      <w:divsChild>
        <w:div w:id="1747455696">
          <w:marLeft w:val="0"/>
          <w:marRight w:val="0"/>
          <w:marTop w:val="0"/>
          <w:marBottom w:val="0"/>
          <w:divBdr>
            <w:top w:val="none" w:sz="0" w:space="0" w:color="auto"/>
            <w:left w:val="none" w:sz="0" w:space="0" w:color="auto"/>
            <w:bottom w:val="none" w:sz="0" w:space="0" w:color="auto"/>
            <w:right w:val="none" w:sz="0" w:space="0" w:color="auto"/>
          </w:divBdr>
          <w:divsChild>
            <w:div w:id="1333215639">
              <w:marLeft w:val="0"/>
              <w:marRight w:val="0"/>
              <w:marTop w:val="0"/>
              <w:marBottom w:val="0"/>
              <w:divBdr>
                <w:top w:val="none" w:sz="0" w:space="0" w:color="auto"/>
                <w:left w:val="none" w:sz="0" w:space="0" w:color="auto"/>
                <w:bottom w:val="none" w:sz="0" w:space="0" w:color="auto"/>
                <w:right w:val="none" w:sz="0" w:space="0" w:color="auto"/>
              </w:divBdr>
              <w:divsChild>
                <w:div w:id="60701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69493">
      <w:bodyDiv w:val="1"/>
      <w:marLeft w:val="0"/>
      <w:marRight w:val="0"/>
      <w:marTop w:val="0"/>
      <w:marBottom w:val="0"/>
      <w:divBdr>
        <w:top w:val="none" w:sz="0" w:space="0" w:color="auto"/>
        <w:left w:val="none" w:sz="0" w:space="0" w:color="auto"/>
        <w:bottom w:val="none" w:sz="0" w:space="0" w:color="auto"/>
        <w:right w:val="none" w:sz="0" w:space="0" w:color="auto"/>
      </w:divBdr>
      <w:divsChild>
        <w:div w:id="275645879">
          <w:marLeft w:val="0"/>
          <w:marRight w:val="0"/>
          <w:marTop w:val="0"/>
          <w:marBottom w:val="0"/>
          <w:divBdr>
            <w:top w:val="none" w:sz="0" w:space="0" w:color="auto"/>
            <w:left w:val="none" w:sz="0" w:space="0" w:color="auto"/>
            <w:bottom w:val="none" w:sz="0" w:space="0" w:color="auto"/>
            <w:right w:val="none" w:sz="0" w:space="0" w:color="auto"/>
          </w:divBdr>
          <w:divsChild>
            <w:div w:id="390037477">
              <w:marLeft w:val="0"/>
              <w:marRight w:val="0"/>
              <w:marTop w:val="0"/>
              <w:marBottom w:val="0"/>
              <w:divBdr>
                <w:top w:val="none" w:sz="0" w:space="0" w:color="auto"/>
                <w:left w:val="none" w:sz="0" w:space="0" w:color="auto"/>
                <w:bottom w:val="none" w:sz="0" w:space="0" w:color="auto"/>
                <w:right w:val="none" w:sz="0" w:space="0" w:color="auto"/>
              </w:divBdr>
              <w:divsChild>
                <w:div w:id="94288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56601">
      <w:bodyDiv w:val="1"/>
      <w:marLeft w:val="0"/>
      <w:marRight w:val="0"/>
      <w:marTop w:val="0"/>
      <w:marBottom w:val="0"/>
      <w:divBdr>
        <w:top w:val="none" w:sz="0" w:space="0" w:color="auto"/>
        <w:left w:val="none" w:sz="0" w:space="0" w:color="auto"/>
        <w:bottom w:val="none" w:sz="0" w:space="0" w:color="auto"/>
        <w:right w:val="none" w:sz="0" w:space="0" w:color="auto"/>
      </w:divBdr>
    </w:div>
    <w:div w:id="1033574363">
      <w:bodyDiv w:val="1"/>
      <w:marLeft w:val="0"/>
      <w:marRight w:val="0"/>
      <w:marTop w:val="0"/>
      <w:marBottom w:val="0"/>
      <w:divBdr>
        <w:top w:val="none" w:sz="0" w:space="0" w:color="auto"/>
        <w:left w:val="none" w:sz="0" w:space="0" w:color="auto"/>
        <w:bottom w:val="none" w:sz="0" w:space="0" w:color="auto"/>
        <w:right w:val="none" w:sz="0" w:space="0" w:color="auto"/>
      </w:divBdr>
    </w:div>
    <w:div w:id="1065959220">
      <w:bodyDiv w:val="1"/>
      <w:marLeft w:val="0"/>
      <w:marRight w:val="0"/>
      <w:marTop w:val="0"/>
      <w:marBottom w:val="0"/>
      <w:divBdr>
        <w:top w:val="none" w:sz="0" w:space="0" w:color="auto"/>
        <w:left w:val="none" w:sz="0" w:space="0" w:color="auto"/>
        <w:bottom w:val="none" w:sz="0" w:space="0" w:color="auto"/>
        <w:right w:val="none" w:sz="0" w:space="0" w:color="auto"/>
      </w:divBdr>
    </w:div>
    <w:div w:id="1066220937">
      <w:bodyDiv w:val="1"/>
      <w:marLeft w:val="0"/>
      <w:marRight w:val="0"/>
      <w:marTop w:val="0"/>
      <w:marBottom w:val="0"/>
      <w:divBdr>
        <w:top w:val="none" w:sz="0" w:space="0" w:color="auto"/>
        <w:left w:val="none" w:sz="0" w:space="0" w:color="auto"/>
        <w:bottom w:val="none" w:sz="0" w:space="0" w:color="auto"/>
        <w:right w:val="none" w:sz="0" w:space="0" w:color="auto"/>
      </w:divBdr>
      <w:divsChild>
        <w:div w:id="703673843">
          <w:marLeft w:val="0"/>
          <w:marRight w:val="0"/>
          <w:marTop w:val="0"/>
          <w:marBottom w:val="0"/>
          <w:divBdr>
            <w:top w:val="none" w:sz="0" w:space="0" w:color="auto"/>
            <w:left w:val="none" w:sz="0" w:space="0" w:color="auto"/>
            <w:bottom w:val="none" w:sz="0" w:space="0" w:color="auto"/>
            <w:right w:val="none" w:sz="0" w:space="0" w:color="auto"/>
          </w:divBdr>
          <w:divsChild>
            <w:div w:id="1801221549">
              <w:marLeft w:val="0"/>
              <w:marRight w:val="0"/>
              <w:marTop w:val="0"/>
              <w:marBottom w:val="0"/>
              <w:divBdr>
                <w:top w:val="none" w:sz="0" w:space="0" w:color="auto"/>
                <w:left w:val="none" w:sz="0" w:space="0" w:color="auto"/>
                <w:bottom w:val="none" w:sz="0" w:space="0" w:color="auto"/>
                <w:right w:val="none" w:sz="0" w:space="0" w:color="auto"/>
              </w:divBdr>
              <w:divsChild>
                <w:div w:id="178326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218514">
      <w:bodyDiv w:val="1"/>
      <w:marLeft w:val="0"/>
      <w:marRight w:val="0"/>
      <w:marTop w:val="0"/>
      <w:marBottom w:val="0"/>
      <w:divBdr>
        <w:top w:val="none" w:sz="0" w:space="0" w:color="auto"/>
        <w:left w:val="none" w:sz="0" w:space="0" w:color="auto"/>
        <w:bottom w:val="none" w:sz="0" w:space="0" w:color="auto"/>
        <w:right w:val="none" w:sz="0" w:space="0" w:color="auto"/>
      </w:divBdr>
    </w:div>
    <w:div w:id="1075588962">
      <w:bodyDiv w:val="1"/>
      <w:marLeft w:val="0"/>
      <w:marRight w:val="0"/>
      <w:marTop w:val="0"/>
      <w:marBottom w:val="0"/>
      <w:divBdr>
        <w:top w:val="none" w:sz="0" w:space="0" w:color="auto"/>
        <w:left w:val="none" w:sz="0" w:space="0" w:color="auto"/>
        <w:bottom w:val="none" w:sz="0" w:space="0" w:color="auto"/>
        <w:right w:val="none" w:sz="0" w:space="0" w:color="auto"/>
      </w:divBdr>
    </w:div>
    <w:div w:id="1081147822">
      <w:bodyDiv w:val="1"/>
      <w:marLeft w:val="0"/>
      <w:marRight w:val="0"/>
      <w:marTop w:val="0"/>
      <w:marBottom w:val="0"/>
      <w:divBdr>
        <w:top w:val="none" w:sz="0" w:space="0" w:color="auto"/>
        <w:left w:val="none" w:sz="0" w:space="0" w:color="auto"/>
        <w:bottom w:val="none" w:sz="0" w:space="0" w:color="auto"/>
        <w:right w:val="none" w:sz="0" w:space="0" w:color="auto"/>
      </w:divBdr>
    </w:div>
    <w:div w:id="1088650734">
      <w:bodyDiv w:val="1"/>
      <w:marLeft w:val="0"/>
      <w:marRight w:val="0"/>
      <w:marTop w:val="0"/>
      <w:marBottom w:val="0"/>
      <w:divBdr>
        <w:top w:val="none" w:sz="0" w:space="0" w:color="auto"/>
        <w:left w:val="none" w:sz="0" w:space="0" w:color="auto"/>
        <w:bottom w:val="none" w:sz="0" w:space="0" w:color="auto"/>
        <w:right w:val="none" w:sz="0" w:space="0" w:color="auto"/>
      </w:divBdr>
      <w:divsChild>
        <w:div w:id="1497695504">
          <w:marLeft w:val="0"/>
          <w:marRight w:val="0"/>
          <w:marTop w:val="0"/>
          <w:marBottom w:val="0"/>
          <w:divBdr>
            <w:top w:val="none" w:sz="0" w:space="0" w:color="auto"/>
            <w:left w:val="none" w:sz="0" w:space="0" w:color="auto"/>
            <w:bottom w:val="none" w:sz="0" w:space="0" w:color="auto"/>
            <w:right w:val="none" w:sz="0" w:space="0" w:color="auto"/>
          </w:divBdr>
        </w:div>
      </w:divsChild>
    </w:div>
    <w:div w:id="1113550864">
      <w:bodyDiv w:val="1"/>
      <w:marLeft w:val="0"/>
      <w:marRight w:val="0"/>
      <w:marTop w:val="0"/>
      <w:marBottom w:val="0"/>
      <w:divBdr>
        <w:top w:val="none" w:sz="0" w:space="0" w:color="auto"/>
        <w:left w:val="none" w:sz="0" w:space="0" w:color="auto"/>
        <w:bottom w:val="none" w:sz="0" w:space="0" w:color="auto"/>
        <w:right w:val="none" w:sz="0" w:space="0" w:color="auto"/>
      </w:divBdr>
      <w:divsChild>
        <w:div w:id="1041127739">
          <w:marLeft w:val="0"/>
          <w:marRight w:val="0"/>
          <w:marTop w:val="0"/>
          <w:marBottom w:val="0"/>
          <w:divBdr>
            <w:top w:val="none" w:sz="0" w:space="0" w:color="auto"/>
            <w:left w:val="none" w:sz="0" w:space="0" w:color="auto"/>
            <w:bottom w:val="none" w:sz="0" w:space="0" w:color="auto"/>
            <w:right w:val="none" w:sz="0" w:space="0" w:color="auto"/>
          </w:divBdr>
          <w:divsChild>
            <w:div w:id="1902253579">
              <w:marLeft w:val="0"/>
              <w:marRight w:val="0"/>
              <w:marTop w:val="0"/>
              <w:marBottom w:val="0"/>
              <w:divBdr>
                <w:top w:val="none" w:sz="0" w:space="0" w:color="auto"/>
                <w:left w:val="none" w:sz="0" w:space="0" w:color="auto"/>
                <w:bottom w:val="none" w:sz="0" w:space="0" w:color="auto"/>
                <w:right w:val="none" w:sz="0" w:space="0" w:color="auto"/>
              </w:divBdr>
              <w:divsChild>
                <w:div w:id="174175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66540">
      <w:bodyDiv w:val="1"/>
      <w:marLeft w:val="0"/>
      <w:marRight w:val="0"/>
      <w:marTop w:val="0"/>
      <w:marBottom w:val="0"/>
      <w:divBdr>
        <w:top w:val="none" w:sz="0" w:space="0" w:color="auto"/>
        <w:left w:val="none" w:sz="0" w:space="0" w:color="auto"/>
        <w:bottom w:val="none" w:sz="0" w:space="0" w:color="auto"/>
        <w:right w:val="none" w:sz="0" w:space="0" w:color="auto"/>
      </w:divBdr>
    </w:div>
    <w:div w:id="1168864340">
      <w:bodyDiv w:val="1"/>
      <w:marLeft w:val="0"/>
      <w:marRight w:val="0"/>
      <w:marTop w:val="0"/>
      <w:marBottom w:val="0"/>
      <w:divBdr>
        <w:top w:val="none" w:sz="0" w:space="0" w:color="auto"/>
        <w:left w:val="none" w:sz="0" w:space="0" w:color="auto"/>
        <w:bottom w:val="none" w:sz="0" w:space="0" w:color="auto"/>
        <w:right w:val="none" w:sz="0" w:space="0" w:color="auto"/>
      </w:divBdr>
    </w:div>
    <w:div w:id="1170024529">
      <w:bodyDiv w:val="1"/>
      <w:marLeft w:val="0"/>
      <w:marRight w:val="0"/>
      <w:marTop w:val="0"/>
      <w:marBottom w:val="0"/>
      <w:divBdr>
        <w:top w:val="none" w:sz="0" w:space="0" w:color="auto"/>
        <w:left w:val="none" w:sz="0" w:space="0" w:color="auto"/>
        <w:bottom w:val="none" w:sz="0" w:space="0" w:color="auto"/>
        <w:right w:val="none" w:sz="0" w:space="0" w:color="auto"/>
      </w:divBdr>
      <w:divsChild>
        <w:div w:id="922225686">
          <w:marLeft w:val="0"/>
          <w:marRight w:val="0"/>
          <w:marTop w:val="0"/>
          <w:marBottom w:val="0"/>
          <w:divBdr>
            <w:top w:val="none" w:sz="0" w:space="0" w:color="auto"/>
            <w:left w:val="none" w:sz="0" w:space="0" w:color="auto"/>
            <w:bottom w:val="none" w:sz="0" w:space="0" w:color="auto"/>
            <w:right w:val="none" w:sz="0" w:space="0" w:color="auto"/>
          </w:divBdr>
          <w:divsChild>
            <w:div w:id="1387677702">
              <w:marLeft w:val="0"/>
              <w:marRight w:val="0"/>
              <w:marTop w:val="0"/>
              <w:marBottom w:val="0"/>
              <w:divBdr>
                <w:top w:val="none" w:sz="0" w:space="0" w:color="auto"/>
                <w:left w:val="none" w:sz="0" w:space="0" w:color="auto"/>
                <w:bottom w:val="none" w:sz="0" w:space="0" w:color="auto"/>
                <w:right w:val="none" w:sz="0" w:space="0" w:color="auto"/>
              </w:divBdr>
              <w:divsChild>
                <w:div w:id="50956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428781">
      <w:bodyDiv w:val="1"/>
      <w:marLeft w:val="0"/>
      <w:marRight w:val="0"/>
      <w:marTop w:val="0"/>
      <w:marBottom w:val="0"/>
      <w:divBdr>
        <w:top w:val="none" w:sz="0" w:space="0" w:color="auto"/>
        <w:left w:val="none" w:sz="0" w:space="0" w:color="auto"/>
        <w:bottom w:val="none" w:sz="0" w:space="0" w:color="auto"/>
        <w:right w:val="none" w:sz="0" w:space="0" w:color="auto"/>
      </w:divBdr>
      <w:divsChild>
        <w:div w:id="483208237">
          <w:marLeft w:val="0"/>
          <w:marRight w:val="0"/>
          <w:marTop w:val="0"/>
          <w:marBottom w:val="0"/>
          <w:divBdr>
            <w:top w:val="none" w:sz="0" w:space="0" w:color="auto"/>
            <w:left w:val="none" w:sz="0" w:space="0" w:color="auto"/>
            <w:bottom w:val="none" w:sz="0" w:space="0" w:color="auto"/>
            <w:right w:val="none" w:sz="0" w:space="0" w:color="auto"/>
          </w:divBdr>
          <w:divsChild>
            <w:div w:id="1250310899">
              <w:marLeft w:val="0"/>
              <w:marRight w:val="0"/>
              <w:marTop w:val="0"/>
              <w:marBottom w:val="0"/>
              <w:divBdr>
                <w:top w:val="none" w:sz="0" w:space="0" w:color="auto"/>
                <w:left w:val="none" w:sz="0" w:space="0" w:color="auto"/>
                <w:bottom w:val="none" w:sz="0" w:space="0" w:color="auto"/>
                <w:right w:val="none" w:sz="0" w:space="0" w:color="auto"/>
              </w:divBdr>
              <w:divsChild>
                <w:div w:id="1180195261">
                  <w:marLeft w:val="0"/>
                  <w:marRight w:val="0"/>
                  <w:marTop w:val="0"/>
                  <w:marBottom w:val="0"/>
                  <w:divBdr>
                    <w:top w:val="none" w:sz="0" w:space="0" w:color="auto"/>
                    <w:left w:val="none" w:sz="0" w:space="0" w:color="auto"/>
                    <w:bottom w:val="none" w:sz="0" w:space="0" w:color="auto"/>
                    <w:right w:val="none" w:sz="0" w:space="0" w:color="auto"/>
                  </w:divBdr>
                  <w:divsChild>
                    <w:div w:id="148886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469915">
      <w:bodyDiv w:val="1"/>
      <w:marLeft w:val="0"/>
      <w:marRight w:val="0"/>
      <w:marTop w:val="0"/>
      <w:marBottom w:val="0"/>
      <w:divBdr>
        <w:top w:val="none" w:sz="0" w:space="0" w:color="auto"/>
        <w:left w:val="none" w:sz="0" w:space="0" w:color="auto"/>
        <w:bottom w:val="none" w:sz="0" w:space="0" w:color="auto"/>
        <w:right w:val="none" w:sz="0" w:space="0" w:color="auto"/>
      </w:divBdr>
    </w:div>
    <w:div w:id="1200316172">
      <w:bodyDiv w:val="1"/>
      <w:marLeft w:val="0"/>
      <w:marRight w:val="0"/>
      <w:marTop w:val="0"/>
      <w:marBottom w:val="0"/>
      <w:divBdr>
        <w:top w:val="none" w:sz="0" w:space="0" w:color="auto"/>
        <w:left w:val="none" w:sz="0" w:space="0" w:color="auto"/>
        <w:bottom w:val="none" w:sz="0" w:space="0" w:color="auto"/>
        <w:right w:val="none" w:sz="0" w:space="0" w:color="auto"/>
      </w:divBdr>
      <w:divsChild>
        <w:div w:id="1432890903">
          <w:marLeft w:val="0"/>
          <w:marRight w:val="0"/>
          <w:marTop w:val="0"/>
          <w:marBottom w:val="0"/>
          <w:divBdr>
            <w:top w:val="none" w:sz="0" w:space="0" w:color="auto"/>
            <w:left w:val="none" w:sz="0" w:space="0" w:color="auto"/>
            <w:bottom w:val="none" w:sz="0" w:space="0" w:color="auto"/>
            <w:right w:val="none" w:sz="0" w:space="0" w:color="auto"/>
          </w:divBdr>
          <w:divsChild>
            <w:div w:id="1192499524">
              <w:marLeft w:val="0"/>
              <w:marRight w:val="0"/>
              <w:marTop w:val="0"/>
              <w:marBottom w:val="0"/>
              <w:divBdr>
                <w:top w:val="none" w:sz="0" w:space="0" w:color="auto"/>
                <w:left w:val="none" w:sz="0" w:space="0" w:color="auto"/>
                <w:bottom w:val="none" w:sz="0" w:space="0" w:color="auto"/>
                <w:right w:val="none" w:sz="0" w:space="0" w:color="auto"/>
              </w:divBdr>
              <w:divsChild>
                <w:div w:id="19634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88867">
      <w:bodyDiv w:val="1"/>
      <w:marLeft w:val="0"/>
      <w:marRight w:val="0"/>
      <w:marTop w:val="0"/>
      <w:marBottom w:val="0"/>
      <w:divBdr>
        <w:top w:val="none" w:sz="0" w:space="0" w:color="auto"/>
        <w:left w:val="none" w:sz="0" w:space="0" w:color="auto"/>
        <w:bottom w:val="none" w:sz="0" w:space="0" w:color="auto"/>
        <w:right w:val="none" w:sz="0" w:space="0" w:color="auto"/>
      </w:divBdr>
    </w:div>
    <w:div w:id="1208839934">
      <w:bodyDiv w:val="1"/>
      <w:marLeft w:val="0"/>
      <w:marRight w:val="0"/>
      <w:marTop w:val="0"/>
      <w:marBottom w:val="0"/>
      <w:divBdr>
        <w:top w:val="none" w:sz="0" w:space="0" w:color="auto"/>
        <w:left w:val="none" w:sz="0" w:space="0" w:color="auto"/>
        <w:bottom w:val="none" w:sz="0" w:space="0" w:color="auto"/>
        <w:right w:val="none" w:sz="0" w:space="0" w:color="auto"/>
      </w:divBdr>
    </w:div>
    <w:div w:id="1216813506">
      <w:bodyDiv w:val="1"/>
      <w:marLeft w:val="0"/>
      <w:marRight w:val="0"/>
      <w:marTop w:val="0"/>
      <w:marBottom w:val="0"/>
      <w:divBdr>
        <w:top w:val="none" w:sz="0" w:space="0" w:color="auto"/>
        <w:left w:val="none" w:sz="0" w:space="0" w:color="auto"/>
        <w:bottom w:val="none" w:sz="0" w:space="0" w:color="auto"/>
        <w:right w:val="none" w:sz="0" w:space="0" w:color="auto"/>
      </w:divBdr>
    </w:div>
    <w:div w:id="1228688564">
      <w:bodyDiv w:val="1"/>
      <w:marLeft w:val="0"/>
      <w:marRight w:val="0"/>
      <w:marTop w:val="0"/>
      <w:marBottom w:val="0"/>
      <w:divBdr>
        <w:top w:val="none" w:sz="0" w:space="0" w:color="auto"/>
        <w:left w:val="none" w:sz="0" w:space="0" w:color="auto"/>
        <w:bottom w:val="none" w:sz="0" w:space="0" w:color="auto"/>
        <w:right w:val="none" w:sz="0" w:space="0" w:color="auto"/>
      </w:divBdr>
    </w:div>
    <w:div w:id="1261568418">
      <w:bodyDiv w:val="1"/>
      <w:marLeft w:val="0"/>
      <w:marRight w:val="0"/>
      <w:marTop w:val="0"/>
      <w:marBottom w:val="0"/>
      <w:divBdr>
        <w:top w:val="none" w:sz="0" w:space="0" w:color="auto"/>
        <w:left w:val="none" w:sz="0" w:space="0" w:color="auto"/>
        <w:bottom w:val="none" w:sz="0" w:space="0" w:color="auto"/>
        <w:right w:val="none" w:sz="0" w:space="0" w:color="auto"/>
      </w:divBdr>
      <w:divsChild>
        <w:div w:id="2037077123">
          <w:marLeft w:val="0"/>
          <w:marRight w:val="0"/>
          <w:marTop w:val="0"/>
          <w:marBottom w:val="0"/>
          <w:divBdr>
            <w:top w:val="none" w:sz="0" w:space="0" w:color="auto"/>
            <w:left w:val="none" w:sz="0" w:space="0" w:color="auto"/>
            <w:bottom w:val="none" w:sz="0" w:space="0" w:color="auto"/>
            <w:right w:val="none" w:sz="0" w:space="0" w:color="auto"/>
          </w:divBdr>
          <w:divsChild>
            <w:div w:id="646859978">
              <w:marLeft w:val="0"/>
              <w:marRight w:val="0"/>
              <w:marTop w:val="0"/>
              <w:marBottom w:val="0"/>
              <w:divBdr>
                <w:top w:val="none" w:sz="0" w:space="0" w:color="auto"/>
                <w:left w:val="none" w:sz="0" w:space="0" w:color="auto"/>
                <w:bottom w:val="none" w:sz="0" w:space="0" w:color="auto"/>
                <w:right w:val="none" w:sz="0" w:space="0" w:color="auto"/>
              </w:divBdr>
              <w:divsChild>
                <w:div w:id="42237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10413">
      <w:bodyDiv w:val="1"/>
      <w:marLeft w:val="0"/>
      <w:marRight w:val="0"/>
      <w:marTop w:val="0"/>
      <w:marBottom w:val="0"/>
      <w:divBdr>
        <w:top w:val="none" w:sz="0" w:space="0" w:color="auto"/>
        <w:left w:val="none" w:sz="0" w:space="0" w:color="auto"/>
        <w:bottom w:val="none" w:sz="0" w:space="0" w:color="auto"/>
        <w:right w:val="none" w:sz="0" w:space="0" w:color="auto"/>
      </w:divBdr>
    </w:div>
    <w:div w:id="1284924683">
      <w:bodyDiv w:val="1"/>
      <w:marLeft w:val="0"/>
      <w:marRight w:val="0"/>
      <w:marTop w:val="0"/>
      <w:marBottom w:val="0"/>
      <w:divBdr>
        <w:top w:val="none" w:sz="0" w:space="0" w:color="auto"/>
        <w:left w:val="none" w:sz="0" w:space="0" w:color="auto"/>
        <w:bottom w:val="none" w:sz="0" w:space="0" w:color="auto"/>
        <w:right w:val="none" w:sz="0" w:space="0" w:color="auto"/>
      </w:divBdr>
      <w:divsChild>
        <w:div w:id="1710060144">
          <w:marLeft w:val="0"/>
          <w:marRight w:val="0"/>
          <w:marTop w:val="0"/>
          <w:marBottom w:val="0"/>
          <w:divBdr>
            <w:top w:val="none" w:sz="0" w:space="0" w:color="auto"/>
            <w:left w:val="none" w:sz="0" w:space="0" w:color="auto"/>
            <w:bottom w:val="none" w:sz="0" w:space="0" w:color="auto"/>
            <w:right w:val="none" w:sz="0" w:space="0" w:color="auto"/>
          </w:divBdr>
          <w:divsChild>
            <w:div w:id="340591415">
              <w:marLeft w:val="0"/>
              <w:marRight w:val="0"/>
              <w:marTop w:val="0"/>
              <w:marBottom w:val="0"/>
              <w:divBdr>
                <w:top w:val="none" w:sz="0" w:space="0" w:color="auto"/>
                <w:left w:val="none" w:sz="0" w:space="0" w:color="auto"/>
                <w:bottom w:val="none" w:sz="0" w:space="0" w:color="auto"/>
                <w:right w:val="none" w:sz="0" w:space="0" w:color="auto"/>
              </w:divBdr>
              <w:divsChild>
                <w:div w:id="104714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333716">
      <w:bodyDiv w:val="1"/>
      <w:marLeft w:val="0"/>
      <w:marRight w:val="0"/>
      <w:marTop w:val="0"/>
      <w:marBottom w:val="0"/>
      <w:divBdr>
        <w:top w:val="none" w:sz="0" w:space="0" w:color="auto"/>
        <w:left w:val="none" w:sz="0" w:space="0" w:color="auto"/>
        <w:bottom w:val="none" w:sz="0" w:space="0" w:color="auto"/>
        <w:right w:val="none" w:sz="0" w:space="0" w:color="auto"/>
      </w:divBdr>
    </w:div>
    <w:div w:id="1331256679">
      <w:bodyDiv w:val="1"/>
      <w:marLeft w:val="0"/>
      <w:marRight w:val="0"/>
      <w:marTop w:val="0"/>
      <w:marBottom w:val="0"/>
      <w:divBdr>
        <w:top w:val="none" w:sz="0" w:space="0" w:color="auto"/>
        <w:left w:val="none" w:sz="0" w:space="0" w:color="auto"/>
        <w:bottom w:val="none" w:sz="0" w:space="0" w:color="auto"/>
        <w:right w:val="none" w:sz="0" w:space="0" w:color="auto"/>
      </w:divBdr>
      <w:divsChild>
        <w:div w:id="1842576041">
          <w:marLeft w:val="0"/>
          <w:marRight w:val="0"/>
          <w:marTop w:val="0"/>
          <w:marBottom w:val="0"/>
          <w:divBdr>
            <w:top w:val="none" w:sz="0" w:space="0" w:color="auto"/>
            <w:left w:val="none" w:sz="0" w:space="0" w:color="auto"/>
            <w:bottom w:val="none" w:sz="0" w:space="0" w:color="auto"/>
            <w:right w:val="none" w:sz="0" w:space="0" w:color="auto"/>
          </w:divBdr>
          <w:divsChild>
            <w:div w:id="15739110">
              <w:marLeft w:val="0"/>
              <w:marRight w:val="0"/>
              <w:marTop w:val="0"/>
              <w:marBottom w:val="0"/>
              <w:divBdr>
                <w:top w:val="none" w:sz="0" w:space="0" w:color="auto"/>
                <w:left w:val="none" w:sz="0" w:space="0" w:color="auto"/>
                <w:bottom w:val="none" w:sz="0" w:space="0" w:color="auto"/>
                <w:right w:val="none" w:sz="0" w:space="0" w:color="auto"/>
              </w:divBdr>
              <w:divsChild>
                <w:div w:id="278725298">
                  <w:marLeft w:val="0"/>
                  <w:marRight w:val="0"/>
                  <w:marTop w:val="0"/>
                  <w:marBottom w:val="0"/>
                  <w:divBdr>
                    <w:top w:val="none" w:sz="0" w:space="0" w:color="auto"/>
                    <w:left w:val="none" w:sz="0" w:space="0" w:color="auto"/>
                    <w:bottom w:val="none" w:sz="0" w:space="0" w:color="auto"/>
                    <w:right w:val="none" w:sz="0" w:space="0" w:color="auto"/>
                  </w:divBdr>
                </w:div>
              </w:divsChild>
            </w:div>
            <w:div w:id="711541663">
              <w:marLeft w:val="0"/>
              <w:marRight w:val="0"/>
              <w:marTop w:val="0"/>
              <w:marBottom w:val="0"/>
              <w:divBdr>
                <w:top w:val="none" w:sz="0" w:space="0" w:color="auto"/>
                <w:left w:val="none" w:sz="0" w:space="0" w:color="auto"/>
                <w:bottom w:val="none" w:sz="0" w:space="0" w:color="auto"/>
                <w:right w:val="none" w:sz="0" w:space="0" w:color="auto"/>
              </w:divBdr>
              <w:divsChild>
                <w:div w:id="489101214">
                  <w:marLeft w:val="0"/>
                  <w:marRight w:val="0"/>
                  <w:marTop w:val="0"/>
                  <w:marBottom w:val="0"/>
                  <w:divBdr>
                    <w:top w:val="none" w:sz="0" w:space="0" w:color="auto"/>
                    <w:left w:val="none" w:sz="0" w:space="0" w:color="auto"/>
                    <w:bottom w:val="none" w:sz="0" w:space="0" w:color="auto"/>
                    <w:right w:val="none" w:sz="0" w:space="0" w:color="auto"/>
                  </w:divBdr>
                </w:div>
              </w:divsChild>
            </w:div>
            <w:div w:id="1790318851">
              <w:marLeft w:val="0"/>
              <w:marRight w:val="0"/>
              <w:marTop w:val="0"/>
              <w:marBottom w:val="0"/>
              <w:divBdr>
                <w:top w:val="none" w:sz="0" w:space="0" w:color="auto"/>
                <w:left w:val="none" w:sz="0" w:space="0" w:color="auto"/>
                <w:bottom w:val="none" w:sz="0" w:space="0" w:color="auto"/>
                <w:right w:val="none" w:sz="0" w:space="0" w:color="auto"/>
              </w:divBdr>
              <w:divsChild>
                <w:div w:id="103797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78750">
      <w:bodyDiv w:val="1"/>
      <w:marLeft w:val="0"/>
      <w:marRight w:val="0"/>
      <w:marTop w:val="0"/>
      <w:marBottom w:val="0"/>
      <w:divBdr>
        <w:top w:val="none" w:sz="0" w:space="0" w:color="auto"/>
        <w:left w:val="none" w:sz="0" w:space="0" w:color="auto"/>
        <w:bottom w:val="none" w:sz="0" w:space="0" w:color="auto"/>
        <w:right w:val="none" w:sz="0" w:space="0" w:color="auto"/>
      </w:divBdr>
    </w:div>
    <w:div w:id="1361512866">
      <w:bodyDiv w:val="1"/>
      <w:marLeft w:val="0"/>
      <w:marRight w:val="0"/>
      <w:marTop w:val="0"/>
      <w:marBottom w:val="0"/>
      <w:divBdr>
        <w:top w:val="none" w:sz="0" w:space="0" w:color="auto"/>
        <w:left w:val="none" w:sz="0" w:space="0" w:color="auto"/>
        <w:bottom w:val="none" w:sz="0" w:space="0" w:color="auto"/>
        <w:right w:val="none" w:sz="0" w:space="0" w:color="auto"/>
      </w:divBdr>
    </w:div>
    <w:div w:id="1367439277">
      <w:bodyDiv w:val="1"/>
      <w:marLeft w:val="0"/>
      <w:marRight w:val="0"/>
      <w:marTop w:val="0"/>
      <w:marBottom w:val="0"/>
      <w:divBdr>
        <w:top w:val="none" w:sz="0" w:space="0" w:color="auto"/>
        <w:left w:val="none" w:sz="0" w:space="0" w:color="auto"/>
        <w:bottom w:val="none" w:sz="0" w:space="0" w:color="auto"/>
        <w:right w:val="none" w:sz="0" w:space="0" w:color="auto"/>
      </w:divBdr>
    </w:div>
    <w:div w:id="1378966631">
      <w:bodyDiv w:val="1"/>
      <w:marLeft w:val="0"/>
      <w:marRight w:val="0"/>
      <w:marTop w:val="0"/>
      <w:marBottom w:val="0"/>
      <w:divBdr>
        <w:top w:val="none" w:sz="0" w:space="0" w:color="auto"/>
        <w:left w:val="none" w:sz="0" w:space="0" w:color="auto"/>
        <w:bottom w:val="none" w:sz="0" w:space="0" w:color="auto"/>
        <w:right w:val="none" w:sz="0" w:space="0" w:color="auto"/>
      </w:divBdr>
      <w:divsChild>
        <w:div w:id="1120345749">
          <w:marLeft w:val="0"/>
          <w:marRight w:val="0"/>
          <w:marTop w:val="0"/>
          <w:marBottom w:val="0"/>
          <w:divBdr>
            <w:top w:val="none" w:sz="0" w:space="0" w:color="auto"/>
            <w:left w:val="none" w:sz="0" w:space="0" w:color="auto"/>
            <w:bottom w:val="none" w:sz="0" w:space="0" w:color="auto"/>
            <w:right w:val="none" w:sz="0" w:space="0" w:color="auto"/>
          </w:divBdr>
          <w:divsChild>
            <w:div w:id="1589654817">
              <w:marLeft w:val="0"/>
              <w:marRight w:val="0"/>
              <w:marTop w:val="0"/>
              <w:marBottom w:val="0"/>
              <w:divBdr>
                <w:top w:val="none" w:sz="0" w:space="0" w:color="auto"/>
                <w:left w:val="none" w:sz="0" w:space="0" w:color="auto"/>
                <w:bottom w:val="none" w:sz="0" w:space="0" w:color="auto"/>
                <w:right w:val="none" w:sz="0" w:space="0" w:color="auto"/>
              </w:divBdr>
              <w:divsChild>
                <w:div w:id="196446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85037">
      <w:bodyDiv w:val="1"/>
      <w:marLeft w:val="0"/>
      <w:marRight w:val="0"/>
      <w:marTop w:val="0"/>
      <w:marBottom w:val="0"/>
      <w:divBdr>
        <w:top w:val="none" w:sz="0" w:space="0" w:color="auto"/>
        <w:left w:val="none" w:sz="0" w:space="0" w:color="auto"/>
        <w:bottom w:val="none" w:sz="0" w:space="0" w:color="auto"/>
        <w:right w:val="none" w:sz="0" w:space="0" w:color="auto"/>
      </w:divBdr>
    </w:div>
    <w:div w:id="1410925593">
      <w:bodyDiv w:val="1"/>
      <w:marLeft w:val="0"/>
      <w:marRight w:val="0"/>
      <w:marTop w:val="0"/>
      <w:marBottom w:val="0"/>
      <w:divBdr>
        <w:top w:val="none" w:sz="0" w:space="0" w:color="auto"/>
        <w:left w:val="none" w:sz="0" w:space="0" w:color="auto"/>
        <w:bottom w:val="none" w:sz="0" w:space="0" w:color="auto"/>
        <w:right w:val="none" w:sz="0" w:space="0" w:color="auto"/>
      </w:divBdr>
      <w:divsChild>
        <w:div w:id="658770426">
          <w:marLeft w:val="0"/>
          <w:marRight w:val="0"/>
          <w:marTop w:val="0"/>
          <w:marBottom w:val="0"/>
          <w:divBdr>
            <w:top w:val="none" w:sz="0" w:space="0" w:color="auto"/>
            <w:left w:val="none" w:sz="0" w:space="0" w:color="auto"/>
            <w:bottom w:val="none" w:sz="0" w:space="0" w:color="auto"/>
            <w:right w:val="none" w:sz="0" w:space="0" w:color="auto"/>
          </w:divBdr>
          <w:divsChild>
            <w:div w:id="1148011779">
              <w:marLeft w:val="0"/>
              <w:marRight w:val="0"/>
              <w:marTop w:val="0"/>
              <w:marBottom w:val="0"/>
              <w:divBdr>
                <w:top w:val="none" w:sz="0" w:space="0" w:color="auto"/>
                <w:left w:val="none" w:sz="0" w:space="0" w:color="auto"/>
                <w:bottom w:val="none" w:sz="0" w:space="0" w:color="auto"/>
                <w:right w:val="none" w:sz="0" w:space="0" w:color="auto"/>
              </w:divBdr>
              <w:divsChild>
                <w:div w:id="11632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212432">
      <w:bodyDiv w:val="1"/>
      <w:marLeft w:val="0"/>
      <w:marRight w:val="0"/>
      <w:marTop w:val="0"/>
      <w:marBottom w:val="0"/>
      <w:divBdr>
        <w:top w:val="none" w:sz="0" w:space="0" w:color="auto"/>
        <w:left w:val="none" w:sz="0" w:space="0" w:color="auto"/>
        <w:bottom w:val="none" w:sz="0" w:space="0" w:color="auto"/>
        <w:right w:val="none" w:sz="0" w:space="0" w:color="auto"/>
      </w:divBdr>
    </w:div>
    <w:div w:id="1420756033">
      <w:bodyDiv w:val="1"/>
      <w:marLeft w:val="0"/>
      <w:marRight w:val="0"/>
      <w:marTop w:val="0"/>
      <w:marBottom w:val="0"/>
      <w:divBdr>
        <w:top w:val="none" w:sz="0" w:space="0" w:color="auto"/>
        <w:left w:val="none" w:sz="0" w:space="0" w:color="auto"/>
        <w:bottom w:val="none" w:sz="0" w:space="0" w:color="auto"/>
        <w:right w:val="none" w:sz="0" w:space="0" w:color="auto"/>
      </w:divBdr>
      <w:divsChild>
        <w:div w:id="1019114950">
          <w:marLeft w:val="0"/>
          <w:marRight w:val="0"/>
          <w:marTop w:val="0"/>
          <w:marBottom w:val="0"/>
          <w:divBdr>
            <w:top w:val="none" w:sz="0" w:space="0" w:color="auto"/>
            <w:left w:val="none" w:sz="0" w:space="0" w:color="auto"/>
            <w:bottom w:val="none" w:sz="0" w:space="0" w:color="auto"/>
            <w:right w:val="none" w:sz="0" w:space="0" w:color="auto"/>
          </w:divBdr>
          <w:divsChild>
            <w:div w:id="2030989892">
              <w:marLeft w:val="0"/>
              <w:marRight w:val="0"/>
              <w:marTop w:val="0"/>
              <w:marBottom w:val="0"/>
              <w:divBdr>
                <w:top w:val="none" w:sz="0" w:space="0" w:color="auto"/>
                <w:left w:val="none" w:sz="0" w:space="0" w:color="auto"/>
                <w:bottom w:val="none" w:sz="0" w:space="0" w:color="auto"/>
                <w:right w:val="none" w:sz="0" w:space="0" w:color="auto"/>
              </w:divBdr>
              <w:divsChild>
                <w:div w:id="18105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05842">
      <w:bodyDiv w:val="1"/>
      <w:marLeft w:val="0"/>
      <w:marRight w:val="0"/>
      <w:marTop w:val="0"/>
      <w:marBottom w:val="0"/>
      <w:divBdr>
        <w:top w:val="none" w:sz="0" w:space="0" w:color="auto"/>
        <w:left w:val="none" w:sz="0" w:space="0" w:color="auto"/>
        <w:bottom w:val="none" w:sz="0" w:space="0" w:color="auto"/>
        <w:right w:val="none" w:sz="0" w:space="0" w:color="auto"/>
      </w:divBdr>
    </w:div>
    <w:div w:id="1428847775">
      <w:bodyDiv w:val="1"/>
      <w:marLeft w:val="0"/>
      <w:marRight w:val="0"/>
      <w:marTop w:val="0"/>
      <w:marBottom w:val="0"/>
      <w:divBdr>
        <w:top w:val="none" w:sz="0" w:space="0" w:color="auto"/>
        <w:left w:val="none" w:sz="0" w:space="0" w:color="auto"/>
        <w:bottom w:val="none" w:sz="0" w:space="0" w:color="auto"/>
        <w:right w:val="none" w:sz="0" w:space="0" w:color="auto"/>
      </w:divBdr>
      <w:divsChild>
        <w:div w:id="175468110">
          <w:marLeft w:val="0"/>
          <w:marRight w:val="0"/>
          <w:marTop w:val="0"/>
          <w:marBottom w:val="0"/>
          <w:divBdr>
            <w:top w:val="none" w:sz="0" w:space="0" w:color="auto"/>
            <w:left w:val="none" w:sz="0" w:space="0" w:color="auto"/>
            <w:bottom w:val="none" w:sz="0" w:space="0" w:color="auto"/>
            <w:right w:val="none" w:sz="0" w:space="0" w:color="auto"/>
          </w:divBdr>
          <w:divsChild>
            <w:div w:id="623468834">
              <w:marLeft w:val="0"/>
              <w:marRight w:val="0"/>
              <w:marTop w:val="0"/>
              <w:marBottom w:val="0"/>
              <w:divBdr>
                <w:top w:val="none" w:sz="0" w:space="0" w:color="auto"/>
                <w:left w:val="none" w:sz="0" w:space="0" w:color="auto"/>
                <w:bottom w:val="none" w:sz="0" w:space="0" w:color="auto"/>
                <w:right w:val="none" w:sz="0" w:space="0" w:color="auto"/>
              </w:divBdr>
              <w:divsChild>
                <w:div w:id="15580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864042">
      <w:bodyDiv w:val="1"/>
      <w:marLeft w:val="0"/>
      <w:marRight w:val="0"/>
      <w:marTop w:val="0"/>
      <w:marBottom w:val="0"/>
      <w:divBdr>
        <w:top w:val="none" w:sz="0" w:space="0" w:color="auto"/>
        <w:left w:val="none" w:sz="0" w:space="0" w:color="auto"/>
        <w:bottom w:val="none" w:sz="0" w:space="0" w:color="auto"/>
        <w:right w:val="none" w:sz="0" w:space="0" w:color="auto"/>
      </w:divBdr>
      <w:divsChild>
        <w:div w:id="1806846279">
          <w:marLeft w:val="0"/>
          <w:marRight w:val="0"/>
          <w:marTop w:val="0"/>
          <w:marBottom w:val="0"/>
          <w:divBdr>
            <w:top w:val="none" w:sz="0" w:space="0" w:color="auto"/>
            <w:left w:val="none" w:sz="0" w:space="0" w:color="auto"/>
            <w:bottom w:val="none" w:sz="0" w:space="0" w:color="auto"/>
            <w:right w:val="none" w:sz="0" w:space="0" w:color="auto"/>
          </w:divBdr>
          <w:divsChild>
            <w:div w:id="1494253436">
              <w:marLeft w:val="0"/>
              <w:marRight w:val="0"/>
              <w:marTop w:val="0"/>
              <w:marBottom w:val="0"/>
              <w:divBdr>
                <w:top w:val="none" w:sz="0" w:space="0" w:color="auto"/>
                <w:left w:val="none" w:sz="0" w:space="0" w:color="auto"/>
                <w:bottom w:val="none" w:sz="0" w:space="0" w:color="auto"/>
                <w:right w:val="none" w:sz="0" w:space="0" w:color="auto"/>
              </w:divBdr>
              <w:divsChild>
                <w:div w:id="1034041894">
                  <w:marLeft w:val="0"/>
                  <w:marRight w:val="0"/>
                  <w:marTop w:val="0"/>
                  <w:marBottom w:val="0"/>
                  <w:divBdr>
                    <w:top w:val="none" w:sz="0" w:space="0" w:color="auto"/>
                    <w:left w:val="none" w:sz="0" w:space="0" w:color="auto"/>
                    <w:bottom w:val="none" w:sz="0" w:space="0" w:color="auto"/>
                    <w:right w:val="none" w:sz="0" w:space="0" w:color="auto"/>
                  </w:divBdr>
                  <w:divsChild>
                    <w:div w:id="6921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20719">
      <w:bodyDiv w:val="1"/>
      <w:marLeft w:val="0"/>
      <w:marRight w:val="0"/>
      <w:marTop w:val="0"/>
      <w:marBottom w:val="0"/>
      <w:divBdr>
        <w:top w:val="none" w:sz="0" w:space="0" w:color="auto"/>
        <w:left w:val="none" w:sz="0" w:space="0" w:color="auto"/>
        <w:bottom w:val="none" w:sz="0" w:space="0" w:color="auto"/>
        <w:right w:val="none" w:sz="0" w:space="0" w:color="auto"/>
      </w:divBdr>
      <w:divsChild>
        <w:div w:id="805203611">
          <w:marLeft w:val="0"/>
          <w:marRight w:val="0"/>
          <w:marTop w:val="0"/>
          <w:marBottom w:val="0"/>
          <w:divBdr>
            <w:top w:val="none" w:sz="0" w:space="0" w:color="auto"/>
            <w:left w:val="none" w:sz="0" w:space="0" w:color="auto"/>
            <w:bottom w:val="none" w:sz="0" w:space="0" w:color="auto"/>
            <w:right w:val="none" w:sz="0" w:space="0" w:color="auto"/>
          </w:divBdr>
          <w:divsChild>
            <w:div w:id="2052994950">
              <w:marLeft w:val="0"/>
              <w:marRight w:val="0"/>
              <w:marTop w:val="0"/>
              <w:marBottom w:val="0"/>
              <w:divBdr>
                <w:top w:val="none" w:sz="0" w:space="0" w:color="auto"/>
                <w:left w:val="none" w:sz="0" w:space="0" w:color="auto"/>
                <w:bottom w:val="none" w:sz="0" w:space="0" w:color="auto"/>
                <w:right w:val="none" w:sz="0" w:space="0" w:color="auto"/>
              </w:divBdr>
              <w:divsChild>
                <w:div w:id="58287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6013">
      <w:bodyDiv w:val="1"/>
      <w:marLeft w:val="0"/>
      <w:marRight w:val="0"/>
      <w:marTop w:val="0"/>
      <w:marBottom w:val="0"/>
      <w:divBdr>
        <w:top w:val="none" w:sz="0" w:space="0" w:color="auto"/>
        <w:left w:val="none" w:sz="0" w:space="0" w:color="auto"/>
        <w:bottom w:val="none" w:sz="0" w:space="0" w:color="auto"/>
        <w:right w:val="none" w:sz="0" w:space="0" w:color="auto"/>
      </w:divBdr>
    </w:div>
    <w:div w:id="1445730701">
      <w:bodyDiv w:val="1"/>
      <w:marLeft w:val="0"/>
      <w:marRight w:val="0"/>
      <w:marTop w:val="0"/>
      <w:marBottom w:val="0"/>
      <w:divBdr>
        <w:top w:val="none" w:sz="0" w:space="0" w:color="auto"/>
        <w:left w:val="none" w:sz="0" w:space="0" w:color="auto"/>
        <w:bottom w:val="none" w:sz="0" w:space="0" w:color="auto"/>
        <w:right w:val="none" w:sz="0" w:space="0" w:color="auto"/>
      </w:divBdr>
    </w:div>
    <w:div w:id="1447693371">
      <w:bodyDiv w:val="1"/>
      <w:marLeft w:val="0"/>
      <w:marRight w:val="0"/>
      <w:marTop w:val="0"/>
      <w:marBottom w:val="0"/>
      <w:divBdr>
        <w:top w:val="none" w:sz="0" w:space="0" w:color="auto"/>
        <w:left w:val="none" w:sz="0" w:space="0" w:color="auto"/>
        <w:bottom w:val="none" w:sz="0" w:space="0" w:color="auto"/>
        <w:right w:val="none" w:sz="0" w:space="0" w:color="auto"/>
      </w:divBdr>
    </w:div>
    <w:div w:id="1448238897">
      <w:bodyDiv w:val="1"/>
      <w:marLeft w:val="0"/>
      <w:marRight w:val="0"/>
      <w:marTop w:val="0"/>
      <w:marBottom w:val="0"/>
      <w:divBdr>
        <w:top w:val="none" w:sz="0" w:space="0" w:color="auto"/>
        <w:left w:val="none" w:sz="0" w:space="0" w:color="auto"/>
        <w:bottom w:val="none" w:sz="0" w:space="0" w:color="auto"/>
        <w:right w:val="none" w:sz="0" w:space="0" w:color="auto"/>
      </w:divBdr>
    </w:div>
    <w:div w:id="1456561863">
      <w:bodyDiv w:val="1"/>
      <w:marLeft w:val="0"/>
      <w:marRight w:val="0"/>
      <w:marTop w:val="0"/>
      <w:marBottom w:val="0"/>
      <w:divBdr>
        <w:top w:val="none" w:sz="0" w:space="0" w:color="auto"/>
        <w:left w:val="none" w:sz="0" w:space="0" w:color="auto"/>
        <w:bottom w:val="none" w:sz="0" w:space="0" w:color="auto"/>
        <w:right w:val="none" w:sz="0" w:space="0" w:color="auto"/>
      </w:divBdr>
    </w:div>
    <w:div w:id="1465537343">
      <w:bodyDiv w:val="1"/>
      <w:marLeft w:val="0"/>
      <w:marRight w:val="0"/>
      <w:marTop w:val="0"/>
      <w:marBottom w:val="0"/>
      <w:divBdr>
        <w:top w:val="none" w:sz="0" w:space="0" w:color="auto"/>
        <w:left w:val="none" w:sz="0" w:space="0" w:color="auto"/>
        <w:bottom w:val="none" w:sz="0" w:space="0" w:color="auto"/>
        <w:right w:val="none" w:sz="0" w:space="0" w:color="auto"/>
      </w:divBdr>
      <w:divsChild>
        <w:div w:id="263920798">
          <w:marLeft w:val="0"/>
          <w:marRight w:val="0"/>
          <w:marTop w:val="0"/>
          <w:marBottom w:val="0"/>
          <w:divBdr>
            <w:top w:val="none" w:sz="0" w:space="0" w:color="auto"/>
            <w:left w:val="none" w:sz="0" w:space="0" w:color="auto"/>
            <w:bottom w:val="none" w:sz="0" w:space="0" w:color="auto"/>
            <w:right w:val="none" w:sz="0" w:space="0" w:color="auto"/>
          </w:divBdr>
          <w:divsChild>
            <w:div w:id="379324957">
              <w:marLeft w:val="0"/>
              <w:marRight w:val="0"/>
              <w:marTop w:val="0"/>
              <w:marBottom w:val="0"/>
              <w:divBdr>
                <w:top w:val="none" w:sz="0" w:space="0" w:color="auto"/>
                <w:left w:val="none" w:sz="0" w:space="0" w:color="auto"/>
                <w:bottom w:val="none" w:sz="0" w:space="0" w:color="auto"/>
                <w:right w:val="none" w:sz="0" w:space="0" w:color="auto"/>
              </w:divBdr>
              <w:divsChild>
                <w:div w:id="19176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19417">
      <w:bodyDiv w:val="1"/>
      <w:marLeft w:val="0"/>
      <w:marRight w:val="0"/>
      <w:marTop w:val="0"/>
      <w:marBottom w:val="0"/>
      <w:divBdr>
        <w:top w:val="none" w:sz="0" w:space="0" w:color="auto"/>
        <w:left w:val="none" w:sz="0" w:space="0" w:color="auto"/>
        <w:bottom w:val="none" w:sz="0" w:space="0" w:color="auto"/>
        <w:right w:val="none" w:sz="0" w:space="0" w:color="auto"/>
      </w:divBdr>
    </w:div>
    <w:div w:id="1530996118">
      <w:bodyDiv w:val="1"/>
      <w:marLeft w:val="0"/>
      <w:marRight w:val="0"/>
      <w:marTop w:val="0"/>
      <w:marBottom w:val="0"/>
      <w:divBdr>
        <w:top w:val="none" w:sz="0" w:space="0" w:color="auto"/>
        <w:left w:val="none" w:sz="0" w:space="0" w:color="auto"/>
        <w:bottom w:val="none" w:sz="0" w:space="0" w:color="auto"/>
        <w:right w:val="none" w:sz="0" w:space="0" w:color="auto"/>
      </w:divBdr>
    </w:div>
    <w:div w:id="1575041596">
      <w:bodyDiv w:val="1"/>
      <w:marLeft w:val="0"/>
      <w:marRight w:val="0"/>
      <w:marTop w:val="0"/>
      <w:marBottom w:val="0"/>
      <w:divBdr>
        <w:top w:val="none" w:sz="0" w:space="0" w:color="auto"/>
        <w:left w:val="none" w:sz="0" w:space="0" w:color="auto"/>
        <w:bottom w:val="none" w:sz="0" w:space="0" w:color="auto"/>
        <w:right w:val="none" w:sz="0" w:space="0" w:color="auto"/>
      </w:divBdr>
    </w:div>
    <w:div w:id="1577006959">
      <w:bodyDiv w:val="1"/>
      <w:marLeft w:val="0"/>
      <w:marRight w:val="0"/>
      <w:marTop w:val="0"/>
      <w:marBottom w:val="0"/>
      <w:divBdr>
        <w:top w:val="none" w:sz="0" w:space="0" w:color="auto"/>
        <w:left w:val="none" w:sz="0" w:space="0" w:color="auto"/>
        <w:bottom w:val="none" w:sz="0" w:space="0" w:color="auto"/>
        <w:right w:val="none" w:sz="0" w:space="0" w:color="auto"/>
      </w:divBdr>
    </w:div>
    <w:div w:id="1577662634">
      <w:bodyDiv w:val="1"/>
      <w:marLeft w:val="0"/>
      <w:marRight w:val="0"/>
      <w:marTop w:val="0"/>
      <w:marBottom w:val="0"/>
      <w:divBdr>
        <w:top w:val="none" w:sz="0" w:space="0" w:color="auto"/>
        <w:left w:val="none" w:sz="0" w:space="0" w:color="auto"/>
        <w:bottom w:val="none" w:sz="0" w:space="0" w:color="auto"/>
        <w:right w:val="none" w:sz="0" w:space="0" w:color="auto"/>
      </w:divBdr>
    </w:div>
    <w:div w:id="1659579181">
      <w:bodyDiv w:val="1"/>
      <w:marLeft w:val="0"/>
      <w:marRight w:val="0"/>
      <w:marTop w:val="0"/>
      <w:marBottom w:val="0"/>
      <w:divBdr>
        <w:top w:val="none" w:sz="0" w:space="0" w:color="auto"/>
        <w:left w:val="none" w:sz="0" w:space="0" w:color="auto"/>
        <w:bottom w:val="none" w:sz="0" w:space="0" w:color="auto"/>
        <w:right w:val="none" w:sz="0" w:space="0" w:color="auto"/>
      </w:divBdr>
      <w:divsChild>
        <w:div w:id="1907907930">
          <w:marLeft w:val="0"/>
          <w:marRight w:val="0"/>
          <w:marTop w:val="0"/>
          <w:marBottom w:val="0"/>
          <w:divBdr>
            <w:top w:val="none" w:sz="0" w:space="0" w:color="auto"/>
            <w:left w:val="none" w:sz="0" w:space="0" w:color="auto"/>
            <w:bottom w:val="none" w:sz="0" w:space="0" w:color="auto"/>
            <w:right w:val="none" w:sz="0" w:space="0" w:color="auto"/>
          </w:divBdr>
          <w:divsChild>
            <w:div w:id="1507860298">
              <w:marLeft w:val="0"/>
              <w:marRight w:val="0"/>
              <w:marTop w:val="0"/>
              <w:marBottom w:val="0"/>
              <w:divBdr>
                <w:top w:val="none" w:sz="0" w:space="0" w:color="auto"/>
                <w:left w:val="none" w:sz="0" w:space="0" w:color="auto"/>
                <w:bottom w:val="none" w:sz="0" w:space="0" w:color="auto"/>
                <w:right w:val="none" w:sz="0" w:space="0" w:color="auto"/>
              </w:divBdr>
              <w:divsChild>
                <w:div w:id="4616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28664">
      <w:bodyDiv w:val="1"/>
      <w:marLeft w:val="0"/>
      <w:marRight w:val="0"/>
      <w:marTop w:val="0"/>
      <w:marBottom w:val="0"/>
      <w:divBdr>
        <w:top w:val="none" w:sz="0" w:space="0" w:color="auto"/>
        <w:left w:val="none" w:sz="0" w:space="0" w:color="auto"/>
        <w:bottom w:val="none" w:sz="0" w:space="0" w:color="auto"/>
        <w:right w:val="none" w:sz="0" w:space="0" w:color="auto"/>
      </w:divBdr>
      <w:divsChild>
        <w:div w:id="1981029394">
          <w:marLeft w:val="0"/>
          <w:marRight w:val="0"/>
          <w:marTop w:val="0"/>
          <w:marBottom w:val="0"/>
          <w:divBdr>
            <w:top w:val="none" w:sz="0" w:space="0" w:color="auto"/>
            <w:left w:val="none" w:sz="0" w:space="0" w:color="auto"/>
            <w:bottom w:val="none" w:sz="0" w:space="0" w:color="auto"/>
            <w:right w:val="none" w:sz="0" w:space="0" w:color="auto"/>
          </w:divBdr>
          <w:divsChild>
            <w:div w:id="1488546286">
              <w:marLeft w:val="0"/>
              <w:marRight w:val="0"/>
              <w:marTop w:val="0"/>
              <w:marBottom w:val="0"/>
              <w:divBdr>
                <w:top w:val="none" w:sz="0" w:space="0" w:color="auto"/>
                <w:left w:val="none" w:sz="0" w:space="0" w:color="auto"/>
                <w:bottom w:val="none" w:sz="0" w:space="0" w:color="auto"/>
                <w:right w:val="none" w:sz="0" w:space="0" w:color="auto"/>
              </w:divBdr>
              <w:divsChild>
                <w:div w:id="2033024695">
                  <w:marLeft w:val="0"/>
                  <w:marRight w:val="0"/>
                  <w:marTop w:val="0"/>
                  <w:marBottom w:val="0"/>
                  <w:divBdr>
                    <w:top w:val="none" w:sz="0" w:space="0" w:color="auto"/>
                    <w:left w:val="none" w:sz="0" w:space="0" w:color="auto"/>
                    <w:bottom w:val="none" w:sz="0" w:space="0" w:color="auto"/>
                    <w:right w:val="none" w:sz="0" w:space="0" w:color="auto"/>
                  </w:divBdr>
                  <w:divsChild>
                    <w:div w:id="843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658681">
      <w:bodyDiv w:val="1"/>
      <w:marLeft w:val="0"/>
      <w:marRight w:val="0"/>
      <w:marTop w:val="0"/>
      <w:marBottom w:val="0"/>
      <w:divBdr>
        <w:top w:val="none" w:sz="0" w:space="0" w:color="auto"/>
        <w:left w:val="none" w:sz="0" w:space="0" w:color="auto"/>
        <w:bottom w:val="none" w:sz="0" w:space="0" w:color="auto"/>
        <w:right w:val="none" w:sz="0" w:space="0" w:color="auto"/>
      </w:divBdr>
    </w:div>
    <w:div w:id="1714697954">
      <w:bodyDiv w:val="1"/>
      <w:marLeft w:val="0"/>
      <w:marRight w:val="0"/>
      <w:marTop w:val="0"/>
      <w:marBottom w:val="0"/>
      <w:divBdr>
        <w:top w:val="none" w:sz="0" w:space="0" w:color="auto"/>
        <w:left w:val="none" w:sz="0" w:space="0" w:color="auto"/>
        <w:bottom w:val="none" w:sz="0" w:space="0" w:color="auto"/>
        <w:right w:val="none" w:sz="0" w:space="0" w:color="auto"/>
      </w:divBdr>
      <w:divsChild>
        <w:div w:id="1437401828">
          <w:marLeft w:val="0"/>
          <w:marRight w:val="0"/>
          <w:marTop w:val="0"/>
          <w:marBottom w:val="0"/>
          <w:divBdr>
            <w:top w:val="none" w:sz="0" w:space="0" w:color="auto"/>
            <w:left w:val="none" w:sz="0" w:space="0" w:color="auto"/>
            <w:bottom w:val="none" w:sz="0" w:space="0" w:color="auto"/>
            <w:right w:val="none" w:sz="0" w:space="0" w:color="auto"/>
          </w:divBdr>
          <w:divsChild>
            <w:div w:id="28847553">
              <w:marLeft w:val="0"/>
              <w:marRight w:val="0"/>
              <w:marTop w:val="0"/>
              <w:marBottom w:val="0"/>
              <w:divBdr>
                <w:top w:val="none" w:sz="0" w:space="0" w:color="auto"/>
                <w:left w:val="none" w:sz="0" w:space="0" w:color="auto"/>
                <w:bottom w:val="none" w:sz="0" w:space="0" w:color="auto"/>
                <w:right w:val="none" w:sz="0" w:space="0" w:color="auto"/>
              </w:divBdr>
              <w:divsChild>
                <w:div w:id="191026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02601">
      <w:bodyDiv w:val="1"/>
      <w:marLeft w:val="0"/>
      <w:marRight w:val="0"/>
      <w:marTop w:val="0"/>
      <w:marBottom w:val="0"/>
      <w:divBdr>
        <w:top w:val="none" w:sz="0" w:space="0" w:color="auto"/>
        <w:left w:val="none" w:sz="0" w:space="0" w:color="auto"/>
        <w:bottom w:val="none" w:sz="0" w:space="0" w:color="auto"/>
        <w:right w:val="none" w:sz="0" w:space="0" w:color="auto"/>
      </w:divBdr>
      <w:divsChild>
        <w:div w:id="1163861720">
          <w:marLeft w:val="0"/>
          <w:marRight w:val="0"/>
          <w:marTop w:val="0"/>
          <w:marBottom w:val="0"/>
          <w:divBdr>
            <w:top w:val="none" w:sz="0" w:space="0" w:color="auto"/>
            <w:left w:val="none" w:sz="0" w:space="0" w:color="auto"/>
            <w:bottom w:val="none" w:sz="0" w:space="0" w:color="auto"/>
            <w:right w:val="none" w:sz="0" w:space="0" w:color="auto"/>
          </w:divBdr>
        </w:div>
      </w:divsChild>
    </w:div>
    <w:div w:id="1733502392">
      <w:bodyDiv w:val="1"/>
      <w:marLeft w:val="0"/>
      <w:marRight w:val="0"/>
      <w:marTop w:val="0"/>
      <w:marBottom w:val="0"/>
      <w:divBdr>
        <w:top w:val="none" w:sz="0" w:space="0" w:color="auto"/>
        <w:left w:val="none" w:sz="0" w:space="0" w:color="auto"/>
        <w:bottom w:val="none" w:sz="0" w:space="0" w:color="auto"/>
        <w:right w:val="none" w:sz="0" w:space="0" w:color="auto"/>
      </w:divBdr>
      <w:divsChild>
        <w:div w:id="1061901901">
          <w:marLeft w:val="0"/>
          <w:marRight w:val="0"/>
          <w:marTop w:val="0"/>
          <w:marBottom w:val="0"/>
          <w:divBdr>
            <w:top w:val="none" w:sz="0" w:space="0" w:color="auto"/>
            <w:left w:val="none" w:sz="0" w:space="0" w:color="auto"/>
            <w:bottom w:val="none" w:sz="0" w:space="0" w:color="auto"/>
            <w:right w:val="none" w:sz="0" w:space="0" w:color="auto"/>
          </w:divBdr>
          <w:divsChild>
            <w:div w:id="1354771200">
              <w:marLeft w:val="0"/>
              <w:marRight w:val="0"/>
              <w:marTop w:val="0"/>
              <w:marBottom w:val="0"/>
              <w:divBdr>
                <w:top w:val="none" w:sz="0" w:space="0" w:color="auto"/>
                <w:left w:val="none" w:sz="0" w:space="0" w:color="auto"/>
                <w:bottom w:val="none" w:sz="0" w:space="0" w:color="auto"/>
                <w:right w:val="none" w:sz="0" w:space="0" w:color="auto"/>
              </w:divBdr>
              <w:divsChild>
                <w:div w:id="1053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54369">
      <w:bodyDiv w:val="1"/>
      <w:marLeft w:val="0"/>
      <w:marRight w:val="0"/>
      <w:marTop w:val="0"/>
      <w:marBottom w:val="0"/>
      <w:divBdr>
        <w:top w:val="none" w:sz="0" w:space="0" w:color="auto"/>
        <w:left w:val="none" w:sz="0" w:space="0" w:color="auto"/>
        <w:bottom w:val="none" w:sz="0" w:space="0" w:color="auto"/>
        <w:right w:val="none" w:sz="0" w:space="0" w:color="auto"/>
      </w:divBdr>
    </w:div>
    <w:div w:id="1764496850">
      <w:bodyDiv w:val="1"/>
      <w:marLeft w:val="0"/>
      <w:marRight w:val="0"/>
      <w:marTop w:val="0"/>
      <w:marBottom w:val="0"/>
      <w:divBdr>
        <w:top w:val="none" w:sz="0" w:space="0" w:color="auto"/>
        <w:left w:val="none" w:sz="0" w:space="0" w:color="auto"/>
        <w:bottom w:val="none" w:sz="0" w:space="0" w:color="auto"/>
        <w:right w:val="none" w:sz="0" w:space="0" w:color="auto"/>
      </w:divBdr>
    </w:div>
    <w:div w:id="1769960461">
      <w:bodyDiv w:val="1"/>
      <w:marLeft w:val="0"/>
      <w:marRight w:val="0"/>
      <w:marTop w:val="0"/>
      <w:marBottom w:val="0"/>
      <w:divBdr>
        <w:top w:val="none" w:sz="0" w:space="0" w:color="auto"/>
        <w:left w:val="none" w:sz="0" w:space="0" w:color="auto"/>
        <w:bottom w:val="none" w:sz="0" w:space="0" w:color="auto"/>
        <w:right w:val="none" w:sz="0" w:space="0" w:color="auto"/>
      </w:divBdr>
    </w:div>
    <w:div w:id="1799566521">
      <w:bodyDiv w:val="1"/>
      <w:marLeft w:val="0"/>
      <w:marRight w:val="0"/>
      <w:marTop w:val="0"/>
      <w:marBottom w:val="0"/>
      <w:divBdr>
        <w:top w:val="none" w:sz="0" w:space="0" w:color="auto"/>
        <w:left w:val="none" w:sz="0" w:space="0" w:color="auto"/>
        <w:bottom w:val="none" w:sz="0" w:space="0" w:color="auto"/>
        <w:right w:val="none" w:sz="0" w:space="0" w:color="auto"/>
      </w:divBdr>
    </w:div>
    <w:div w:id="1813250696">
      <w:bodyDiv w:val="1"/>
      <w:marLeft w:val="0"/>
      <w:marRight w:val="0"/>
      <w:marTop w:val="0"/>
      <w:marBottom w:val="0"/>
      <w:divBdr>
        <w:top w:val="none" w:sz="0" w:space="0" w:color="auto"/>
        <w:left w:val="none" w:sz="0" w:space="0" w:color="auto"/>
        <w:bottom w:val="none" w:sz="0" w:space="0" w:color="auto"/>
        <w:right w:val="none" w:sz="0" w:space="0" w:color="auto"/>
      </w:divBdr>
      <w:divsChild>
        <w:div w:id="407533696">
          <w:marLeft w:val="0"/>
          <w:marRight w:val="0"/>
          <w:marTop w:val="0"/>
          <w:marBottom w:val="0"/>
          <w:divBdr>
            <w:top w:val="none" w:sz="0" w:space="0" w:color="auto"/>
            <w:left w:val="none" w:sz="0" w:space="0" w:color="auto"/>
            <w:bottom w:val="none" w:sz="0" w:space="0" w:color="auto"/>
            <w:right w:val="none" w:sz="0" w:space="0" w:color="auto"/>
          </w:divBdr>
          <w:divsChild>
            <w:div w:id="68970547">
              <w:marLeft w:val="0"/>
              <w:marRight w:val="0"/>
              <w:marTop w:val="0"/>
              <w:marBottom w:val="0"/>
              <w:divBdr>
                <w:top w:val="none" w:sz="0" w:space="0" w:color="auto"/>
                <w:left w:val="none" w:sz="0" w:space="0" w:color="auto"/>
                <w:bottom w:val="none" w:sz="0" w:space="0" w:color="auto"/>
                <w:right w:val="none" w:sz="0" w:space="0" w:color="auto"/>
              </w:divBdr>
              <w:divsChild>
                <w:div w:id="10231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027383">
      <w:bodyDiv w:val="1"/>
      <w:marLeft w:val="0"/>
      <w:marRight w:val="0"/>
      <w:marTop w:val="0"/>
      <w:marBottom w:val="0"/>
      <w:divBdr>
        <w:top w:val="none" w:sz="0" w:space="0" w:color="auto"/>
        <w:left w:val="none" w:sz="0" w:space="0" w:color="auto"/>
        <w:bottom w:val="none" w:sz="0" w:space="0" w:color="auto"/>
        <w:right w:val="none" w:sz="0" w:space="0" w:color="auto"/>
      </w:divBdr>
    </w:div>
    <w:div w:id="1832603844">
      <w:bodyDiv w:val="1"/>
      <w:marLeft w:val="0"/>
      <w:marRight w:val="0"/>
      <w:marTop w:val="0"/>
      <w:marBottom w:val="0"/>
      <w:divBdr>
        <w:top w:val="none" w:sz="0" w:space="0" w:color="auto"/>
        <w:left w:val="none" w:sz="0" w:space="0" w:color="auto"/>
        <w:bottom w:val="none" w:sz="0" w:space="0" w:color="auto"/>
        <w:right w:val="none" w:sz="0" w:space="0" w:color="auto"/>
      </w:divBdr>
    </w:div>
    <w:div w:id="1834949806">
      <w:bodyDiv w:val="1"/>
      <w:marLeft w:val="0"/>
      <w:marRight w:val="0"/>
      <w:marTop w:val="0"/>
      <w:marBottom w:val="0"/>
      <w:divBdr>
        <w:top w:val="none" w:sz="0" w:space="0" w:color="auto"/>
        <w:left w:val="none" w:sz="0" w:space="0" w:color="auto"/>
        <w:bottom w:val="none" w:sz="0" w:space="0" w:color="auto"/>
        <w:right w:val="none" w:sz="0" w:space="0" w:color="auto"/>
      </w:divBdr>
    </w:div>
    <w:div w:id="1858497406">
      <w:bodyDiv w:val="1"/>
      <w:marLeft w:val="0"/>
      <w:marRight w:val="0"/>
      <w:marTop w:val="0"/>
      <w:marBottom w:val="0"/>
      <w:divBdr>
        <w:top w:val="none" w:sz="0" w:space="0" w:color="auto"/>
        <w:left w:val="none" w:sz="0" w:space="0" w:color="auto"/>
        <w:bottom w:val="none" w:sz="0" w:space="0" w:color="auto"/>
        <w:right w:val="none" w:sz="0" w:space="0" w:color="auto"/>
      </w:divBdr>
    </w:div>
    <w:div w:id="1863856264">
      <w:bodyDiv w:val="1"/>
      <w:marLeft w:val="0"/>
      <w:marRight w:val="0"/>
      <w:marTop w:val="0"/>
      <w:marBottom w:val="0"/>
      <w:divBdr>
        <w:top w:val="none" w:sz="0" w:space="0" w:color="auto"/>
        <w:left w:val="none" w:sz="0" w:space="0" w:color="auto"/>
        <w:bottom w:val="none" w:sz="0" w:space="0" w:color="auto"/>
        <w:right w:val="none" w:sz="0" w:space="0" w:color="auto"/>
      </w:divBdr>
      <w:divsChild>
        <w:div w:id="233467721">
          <w:marLeft w:val="0"/>
          <w:marRight w:val="0"/>
          <w:marTop w:val="0"/>
          <w:marBottom w:val="0"/>
          <w:divBdr>
            <w:top w:val="none" w:sz="0" w:space="0" w:color="auto"/>
            <w:left w:val="none" w:sz="0" w:space="0" w:color="auto"/>
            <w:bottom w:val="none" w:sz="0" w:space="0" w:color="auto"/>
            <w:right w:val="none" w:sz="0" w:space="0" w:color="auto"/>
          </w:divBdr>
          <w:divsChild>
            <w:div w:id="524636152">
              <w:marLeft w:val="0"/>
              <w:marRight w:val="0"/>
              <w:marTop w:val="0"/>
              <w:marBottom w:val="0"/>
              <w:divBdr>
                <w:top w:val="none" w:sz="0" w:space="0" w:color="auto"/>
                <w:left w:val="none" w:sz="0" w:space="0" w:color="auto"/>
                <w:bottom w:val="none" w:sz="0" w:space="0" w:color="auto"/>
                <w:right w:val="none" w:sz="0" w:space="0" w:color="auto"/>
              </w:divBdr>
              <w:divsChild>
                <w:div w:id="14989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32629">
      <w:bodyDiv w:val="1"/>
      <w:marLeft w:val="0"/>
      <w:marRight w:val="0"/>
      <w:marTop w:val="0"/>
      <w:marBottom w:val="0"/>
      <w:divBdr>
        <w:top w:val="none" w:sz="0" w:space="0" w:color="auto"/>
        <w:left w:val="none" w:sz="0" w:space="0" w:color="auto"/>
        <w:bottom w:val="none" w:sz="0" w:space="0" w:color="auto"/>
        <w:right w:val="none" w:sz="0" w:space="0" w:color="auto"/>
      </w:divBdr>
    </w:div>
    <w:div w:id="1881287285">
      <w:bodyDiv w:val="1"/>
      <w:marLeft w:val="0"/>
      <w:marRight w:val="0"/>
      <w:marTop w:val="0"/>
      <w:marBottom w:val="0"/>
      <w:divBdr>
        <w:top w:val="none" w:sz="0" w:space="0" w:color="auto"/>
        <w:left w:val="none" w:sz="0" w:space="0" w:color="auto"/>
        <w:bottom w:val="none" w:sz="0" w:space="0" w:color="auto"/>
        <w:right w:val="none" w:sz="0" w:space="0" w:color="auto"/>
      </w:divBdr>
    </w:div>
    <w:div w:id="1899707809">
      <w:bodyDiv w:val="1"/>
      <w:marLeft w:val="0"/>
      <w:marRight w:val="0"/>
      <w:marTop w:val="0"/>
      <w:marBottom w:val="0"/>
      <w:divBdr>
        <w:top w:val="none" w:sz="0" w:space="0" w:color="auto"/>
        <w:left w:val="none" w:sz="0" w:space="0" w:color="auto"/>
        <w:bottom w:val="none" w:sz="0" w:space="0" w:color="auto"/>
        <w:right w:val="none" w:sz="0" w:space="0" w:color="auto"/>
      </w:divBdr>
      <w:divsChild>
        <w:div w:id="580338248">
          <w:marLeft w:val="0"/>
          <w:marRight w:val="0"/>
          <w:marTop w:val="0"/>
          <w:marBottom w:val="0"/>
          <w:divBdr>
            <w:top w:val="none" w:sz="0" w:space="0" w:color="auto"/>
            <w:left w:val="none" w:sz="0" w:space="0" w:color="auto"/>
            <w:bottom w:val="none" w:sz="0" w:space="0" w:color="auto"/>
            <w:right w:val="none" w:sz="0" w:space="0" w:color="auto"/>
          </w:divBdr>
          <w:divsChild>
            <w:div w:id="1839998359">
              <w:marLeft w:val="0"/>
              <w:marRight w:val="0"/>
              <w:marTop w:val="0"/>
              <w:marBottom w:val="0"/>
              <w:divBdr>
                <w:top w:val="none" w:sz="0" w:space="0" w:color="auto"/>
                <w:left w:val="none" w:sz="0" w:space="0" w:color="auto"/>
                <w:bottom w:val="none" w:sz="0" w:space="0" w:color="auto"/>
                <w:right w:val="none" w:sz="0" w:space="0" w:color="auto"/>
              </w:divBdr>
              <w:divsChild>
                <w:div w:id="202863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60780">
      <w:bodyDiv w:val="1"/>
      <w:marLeft w:val="0"/>
      <w:marRight w:val="0"/>
      <w:marTop w:val="0"/>
      <w:marBottom w:val="0"/>
      <w:divBdr>
        <w:top w:val="none" w:sz="0" w:space="0" w:color="auto"/>
        <w:left w:val="none" w:sz="0" w:space="0" w:color="auto"/>
        <w:bottom w:val="none" w:sz="0" w:space="0" w:color="auto"/>
        <w:right w:val="none" w:sz="0" w:space="0" w:color="auto"/>
      </w:divBdr>
    </w:div>
    <w:div w:id="1929731282">
      <w:bodyDiv w:val="1"/>
      <w:marLeft w:val="0"/>
      <w:marRight w:val="0"/>
      <w:marTop w:val="0"/>
      <w:marBottom w:val="0"/>
      <w:divBdr>
        <w:top w:val="none" w:sz="0" w:space="0" w:color="auto"/>
        <w:left w:val="none" w:sz="0" w:space="0" w:color="auto"/>
        <w:bottom w:val="none" w:sz="0" w:space="0" w:color="auto"/>
        <w:right w:val="none" w:sz="0" w:space="0" w:color="auto"/>
      </w:divBdr>
    </w:div>
    <w:div w:id="1935507379">
      <w:bodyDiv w:val="1"/>
      <w:marLeft w:val="0"/>
      <w:marRight w:val="0"/>
      <w:marTop w:val="0"/>
      <w:marBottom w:val="0"/>
      <w:divBdr>
        <w:top w:val="none" w:sz="0" w:space="0" w:color="auto"/>
        <w:left w:val="none" w:sz="0" w:space="0" w:color="auto"/>
        <w:bottom w:val="none" w:sz="0" w:space="0" w:color="auto"/>
        <w:right w:val="none" w:sz="0" w:space="0" w:color="auto"/>
      </w:divBdr>
    </w:div>
    <w:div w:id="1950623401">
      <w:bodyDiv w:val="1"/>
      <w:marLeft w:val="0"/>
      <w:marRight w:val="0"/>
      <w:marTop w:val="0"/>
      <w:marBottom w:val="0"/>
      <w:divBdr>
        <w:top w:val="none" w:sz="0" w:space="0" w:color="auto"/>
        <w:left w:val="none" w:sz="0" w:space="0" w:color="auto"/>
        <w:bottom w:val="none" w:sz="0" w:space="0" w:color="auto"/>
        <w:right w:val="none" w:sz="0" w:space="0" w:color="auto"/>
      </w:divBdr>
    </w:div>
    <w:div w:id="1968120307">
      <w:bodyDiv w:val="1"/>
      <w:marLeft w:val="0"/>
      <w:marRight w:val="0"/>
      <w:marTop w:val="0"/>
      <w:marBottom w:val="0"/>
      <w:divBdr>
        <w:top w:val="none" w:sz="0" w:space="0" w:color="auto"/>
        <w:left w:val="none" w:sz="0" w:space="0" w:color="auto"/>
        <w:bottom w:val="none" w:sz="0" w:space="0" w:color="auto"/>
        <w:right w:val="none" w:sz="0" w:space="0" w:color="auto"/>
      </w:divBdr>
    </w:div>
    <w:div w:id="1976716245">
      <w:bodyDiv w:val="1"/>
      <w:marLeft w:val="0"/>
      <w:marRight w:val="0"/>
      <w:marTop w:val="0"/>
      <w:marBottom w:val="0"/>
      <w:divBdr>
        <w:top w:val="none" w:sz="0" w:space="0" w:color="auto"/>
        <w:left w:val="none" w:sz="0" w:space="0" w:color="auto"/>
        <w:bottom w:val="none" w:sz="0" w:space="0" w:color="auto"/>
        <w:right w:val="none" w:sz="0" w:space="0" w:color="auto"/>
      </w:divBdr>
    </w:div>
    <w:div w:id="1980302254">
      <w:bodyDiv w:val="1"/>
      <w:marLeft w:val="0"/>
      <w:marRight w:val="0"/>
      <w:marTop w:val="0"/>
      <w:marBottom w:val="0"/>
      <w:divBdr>
        <w:top w:val="none" w:sz="0" w:space="0" w:color="auto"/>
        <w:left w:val="none" w:sz="0" w:space="0" w:color="auto"/>
        <w:bottom w:val="none" w:sz="0" w:space="0" w:color="auto"/>
        <w:right w:val="none" w:sz="0" w:space="0" w:color="auto"/>
      </w:divBdr>
    </w:div>
    <w:div w:id="1991320690">
      <w:bodyDiv w:val="1"/>
      <w:marLeft w:val="0"/>
      <w:marRight w:val="0"/>
      <w:marTop w:val="0"/>
      <w:marBottom w:val="0"/>
      <w:divBdr>
        <w:top w:val="none" w:sz="0" w:space="0" w:color="auto"/>
        <w:left w:val="none" w:sz="0" w:space="0" w:color="auto"/>
        <w:bottom w:val="none" w:sz="0" w:space="0" w:color="auto"/>
        <w:right w:val="none" w:sz="0" w:space="0" w:color="auto"/>
      </w:divBdr>
      <w:divsChild>
        <w:div w:id="944657010">
          <w:marLeft w:val="0"/>
          <w:marRight w:val="0"/>
          <w:marTop w:val="0"/>
          <w:marBottom w:val="0"/>
          <w:divBdr>
            <w:top w:val="none" w:sz="0" w:space="0" w:color="auto"/>
            <w:left w:val="none" w:sz="0" w:space="0" w:color="auto"/>
            <w:bottom w:val="none" w:sz="0" w:space="0" w:color="auto"/>
            <w:right w:val="none" w:sz="0" w:space="0" w:color="auto"/>
          </w:divBdr>
          <w:divsChild>
            <w:div w:id="64568389">
              <w:marLeft w:val="0"/>
              <w:marRight w:val="0"/>
              <w:marTop w:val="0"/>
              <w:marBottom w:val="0"/>
              <w:divBdr>
                <w:top w:val="none" w:sz="0" w:space="0" w:color="auto"/>
                <w:left w:val="none" w:sz="0" w:space="0" w:color="auto"/>
                <w:bottom w:val="none" w:sz="0" w:space="0" w:color="auto"/>
                <w:right w:val="none" w:sz="0" w:space="0" w:color="auto"/>
              </w:divBdr>
              <w:divsChild>
                <w:div w:id="4713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8217">
      <w:bodyDiv w:val="1"/>
      <w:marLeft w:val="0"/>
      <w:marRight w:val="0"/>
      <w:marTop w:val="0"/>
      <w:marBottom w:val="0"/>
      <w:divBdr>
        <w:top w:val="none" w:sz="0" w:space="0" w:color="auto"/>
        <w:left w:val="none" w:sz="0" w:space="0" w:color="auto"/>
        <w:bottom w:val="none" w:sz="0" w:space="0" w:color="auto"/>
        <w:right w:val="none" w:sz="0" w:space="0" w:color="auto"/>
      </w:divBdr>
    </w:div>
    <w:div w:id="2046903359">
      <w:bodyDiv w:val="1"/>
      <w:marLeft w:val="0"/>
      <w:marRight w:val="0"/>
      <w:marTop w:val="0"/>
      <w:marBottom w:val="0"/>
      <w:divBdr>
        <w:top w:val="none" w:sz="0" w:space="0" w:color="auto"/>
        <w:left w:val="none" w:sz="0" w:space="0" w:color="auto"/>
        <w:bottom w:val="none" w:sz="0" w:space="0" w:color="auto"/>
        <w:right w:val="none" w:sz="0" w:space="0" w:color="auto"/>
      </w:divBdr>
      <w:divsChild>
        <w:div w:id="1445612487">
          <w:marLeft w:val="0"/>
          <w:marRight w:val="0"/>
          <w:marTop w:val="0"/>
          <w:marBottom w:val="0"/>
          <w:divBdr>
            <w:top w:val="none" w:sz="0" w:space="0" w:color="auto"/>
            <w:left w:val="none" w:sz="0" w:space="0" w:color="auto"/>
            <w:bottom w:val="none" w:sz="0" w:space="0" w:color="auto"/>
            <w:right w:val="none" w:sz="0" w:space="0" w:color="auto"/>
          </w:divBdr>
        </w:div>
        <w:div w:id="553781228">
          <w:marLeft w:val="0"/>
          <w:marRight w:val="0"/>
          <w:marTop w:val="0"/>
          <w:marBottom w:val="0"/>
          <w:divBdr>
            <w:top w:val="none" w:sz="0" w:space="0" w:color="auto"/>
            <w:left w:val="none" w:sz="0" w:space="0" w:color="auto"/>
            <w:bottom w:val="none" w:sz="0" w:space="0" w:color="auto"/>
            <w:right w:val="none" w:sz="0" w:space="0" w:color="auto"/>
          </w:divBdr>
        </w:div>
      </w:divsChild>
    </w:div>
    <w:div w:id="2057269809">
      <w:bodyDiv w:val="1"/>
      <w:marLeft w:val="0"/>
      <w:marRight w:val="0"/>
      <w:marTop w:val="0"/>
      <w:marBottom w:val="0"/>
      <w:divBdr>
        <w:top w:val="none" w:sz="0" w:space="0" w:color="auto"/>
        <w:left w:val="none" w:sz="0" w:space="0" w:color="auto"/>
        <w:bottom w:val="none" w:sz="0" w:space="0" w:color="auto"/>
        <w:right w:val="none" w:sz="0" w:space="0" w:color="auto"/>
      </w:divBdr>
    </w:div>
    <w:div w:id="2079402263">
      <w:bodyDiv w:val="1"/>
      <w:marLeft w:val="0"/>
      <w:marRight w:val="0"/>
      <w:marTop w:val="0"/>
      <w:marBottom w:val="0"/>
      <w:divBdr>
        <w:top w:val="none" w:sz="0" w:space="0" w:color="auto"/>
        <w:left w:val="none" w:sz="0" w:space="0" w:color="auto"/>
        <w:bottom w:val="none" w:sz="0" w:space="0" w:color="auto"/>
        <w:right w:val="none" w:sz="0" w:space="0" w:color="auto"/>
      </w:divBdr>
    </w:div>
    <w:div w:id="2084642313">
      <w:bodyDiv w:val="1"/>
      <w:marLeft w:val="0"/>
      <w:marRight w:val="0"/>
      <w:marTop w:val="0"/>
      <w:marBottom w:val="0"/>
      <w:divBdr>
        <w:top w:val="none" w:sz="0" w:space="0" w:color="auto"/>
        <w:left w:val="none" w:sz="0" w:space="0" w:color="auto"/>
        <w:bottom w:val="none" w:sz="0" w:space="0" w:color="auto"/>
        <w:right w:val="none" w:sz="0" w:space="0" w:color="auto"/>
      </w:divBdr>
      <w:divsChild>
        <w:div w:id="709307685">
          <w:marLeft w:val="0"/>
          <w:marRight w:val="0"/>
          <w:marTop w:val="0"/>
          <w:marBottom w:val="0"/>
          <w:divBdr>
            <w:top w:val="none" w:sz="0" w:space="0" w:color="auto"/>
            <w:left w:val="none" w:sz="0" w:space="0" w:color="auto"/>
            <w:bottom w:val="none" w:sz="0" w:space="0" w:color="auto"/>
            <w:right w:val="none" w:sz="0" w:space="0" w:color="auto"/>
          </w:divBdr>
          <w:divsChild>
            <w:div w:id="512107657">
              <w:marLeft w:val="0"/>
              <w:marRight w:val="0"/>
              <w:marTop w:val="0"/>
              <w:marBottom w:val="0"/>
              <w:divBdr>
                <w:top w:val="none" w:sz="0" w:space="0" w:color="auto"/>
                <w:left w:val="none" w:sz="0" w:space="0" w:color="auto"/>
                <w:bottom w:val="none" w:sz="0" w:space="0" w:color="auto"/>
                <w:right w:val="none" w:sz="0" w:space="0" w:color="auto"/>
              </w:divBdr>
              <w:divsChild>
                <w:div w:id="131545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248062">
      <w:bodyDiv w:val="1"/>
      <w:marLeft w:val="0"/>
      <w:marRight w:val="0"/>
      <w:marTop w:val="0"/>
      <w:marBottom w:val="0"/>
      <w:divBdr>
        <w:top w:val="none" w:sz="0" w:space="0" w:color="auto"/>
        <w:left w:val="none" w:sz="0" w:space="0" w:color="auto"/>
        <w:bottom w:val="none" w:sz="0" w:space="0" w:color="auto"/>
        <w:right w:val="none" w:sz="0" w:space="0" w:color="auto"/>
      </w:divBdr>
    </w:div>
    <w:div w:id="2127695370">
      <w:bodyDiv w:val="1"/>
      <w:marLeft w:val="0"/>
      <w:marRight w:val="0"/>
      <w:marTop w:val="0"/>
      <w:marBottom w:val="0"/>
      <w:divBdr>
        <w:top w:val="none" w:sz="0" w:space="0" w:color="auto"/>
        <w:left w:val="none" w:sz="0" w:space="0" w:color="auto"/>
        <w:bottom w:val="none" w:sz="0" w:space="0" w:color="auto"/>
        <w:right w:val="none" w:sz="0" w:space="0" w:color="auto"/>
      </w:divBdr>
      <w:divsChild>
        <w:div w:id="1399749150">
          <w:marLeft w:val="0"/>
          <w:marRight w:val="0"/>
          <w:marTop w:val="0"/>
          <w:marBottom w:val="0"/>
          <w:divBdr>
            <w:top w:val="none" w:sz="0" w:space="0" w:color="auto"/>
            <w:left w:val="none" w:sz="0" w:space="0" w:color="auto"/>
            <w:bottom w:val="none" w:sz="0" w:space="0" w:color="auto"/>
            <w:right w:val="none" w:sz="0" w:space="0" w:color="auto"/>
          </w:divBdr>
          <w:divsChild>
            <w:div w:id="169565463">
              <w:marLeft w:val="0"/>
              <w:marRight w:val="0"/>
              <w:marTop w:val="0"/>
              <w:marBottom w:val="0"/>
              <w:divBdr>
                <w:top w:val="none" w:sz="0" w:space="0" w:color="auto"/>
                <w:left w:val="none" w:sz="0" w:space="0" w:color="auto"/>
                <w:bottom w:val="none" w:sz="0" w:space="0" w:color="auto"/>
                <w:right w:val="none" w:sz="0" w:space="0" w:color="auto"/>
              </w:divBdr>
              <w:divsChild>
                <w:div w:id="9675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2513">
      <w:bodyDiv w:val="1"/>
      <w:marLeft w:val="0"/>
      <w:marRight w:val="0"/>
      <w:marTop w:val="0"/>
      <w:marBottom w:val="0"/>
      <w:divBdr>
        <w:top w:val="none" w:sz="0" w:space="0" w:color="auto"/>
        <w:left w:val="none" w:sz="0" w:space="0" w:color="auto"/>
        <w:bottom w:val="none" w:sz="0" w:space="0" w:color="auto"/>
        <w:right w:val="none" w:sz="0" w:space="0" w:color="auto"/>
      </w:divBdr>
    </w:div>
    <w:div w:id="2140762283">
      <w:bodyDiv w:val="1"/>
      <w:marLeft w:val="0"/>
      <w:marRight w:val="0"/>
      <w:marTop w:val="0"/>
      <w:marBottom w:val="0"/>
      <w:divBdr>
        <w:top w:val="none" w:sz="0" w:space="0" w:color="auto"/>
        <w:left w:val="none" w:sz="0" w:space="0" w:color="auto"/>
        <w:bottom w:val="none" w:sz="0" w:space="0" w:color="auto"/>
        <w:right w:val="none" w:sz="0" w:space="0" w:color="auto"/>
      </w:divBdr>
      <w:divsChild>
        <w:div w:id="1403992732">
          <w:marLeft w:val="0"/>
          <w:marRight w:val="0"/>
          <w:marTop w:val="0"/>
          <w:marBottom w:val="0"/>
          <w:divBdr>
            <w:top w:val="none" w:sz="0" w:space="0" w:color="auto"/>
            <w:left w:val="none" w:sz="0" w:space="0" w:color="auto"/>
            <w:bottom w:val="none" w:sz="0" w:space="0" w:color="auto"/>
            <w:right w:val="none" w:sz="0" w:space="0" w:color="auto"/>
          </w:divBdr>
          <w:divsChild>
            <w:div w:id="1277522907">
              <w:marLeft w:val="0"/>
              <w:marRight w:val="0"/>
              <w:marTop w:val="0"/>
              <w:marBottom w:val="0"/>
              <w:divBdr>
                <w:top w:val="none" w:sz="0" w:space="0" w:color="auto"/>
                <w:left w:val="none" w:sz="0" w:space="0" w:color="auto"/>
                <w:bottom w:val="none" w:sz="0" w:space="0" w:color="auto"/>
                <w:right w:val="none" w:sz="0" w:space="0" w:color="auto"/>
              </w:divBdr>
              <w:divsChild>
                <w:div w:id="187048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wto.org/dol2fe/Pages/FE_Search/FE_S_S006.aspx?DataSource=Cat&amp;query=@Symbol=WT/DS397/AB/R&amp;Language=English&amp;Context=ScriptedSearches&amp;languageUIChanged=true" TargetMode="External"/><Relationship Id="rId13" Type="http://schemas.openxmlformats.org/officeDocument/2006/relationships/hyperlink" Target="https://docs.wto.org/dol2fe/Pages/FE_Search/FE_S_S006.aspx?DataSource=Cat&amp;query=@Symbol=WT/DS136/AB/R&amp;Language=English&amp;Context=ScriptedSearches&amp;languageUIChanged=true"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trade.ec.europa.eu/doclib/docs/2018/february/tradoc_156618.pdf" TargetMode="External"/><Relationship Id="rId7" Type="http://schemas.openxmlformats.org/officeDocument/2006/relationships/endnotes" Target="endnotes.xml"/><Relationship Id="rId12" Type="http://schemas.openxmlformats.org/officeDocument/2006/relationships/hyperlink" Target="https://docs.wto.org/dol2fe/Pages/FE_Search/FE_S_S006.aspx?DataSource=Cat&amp;query=@Symbol=WT/DS513/R*&amp;Language=English&amp;Context=ScriptedSearches&amp;languageUIChanged=true" TargetMode="External"/><Relationship Id="rId17" Type="http://schemas.openxmlformats.org/officeDocument/2006/relationships/footer" Target="footer2.xml"/><Relationship Id="rId25" Type="http://schemas.openxmlformats.org/officeDocument/2006/relationships/hyperlink" Target="https://docs.wto.org/dol2fe/Pages/SS/directdoc.aspx?filename=q:/G/MAQRN/UKR4A1.pdf&amp;Open=True"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sonaeindustria.com/file_bank/investor_presentations/2016&#8208;02_SIND_investor%20presentation_FINAL.pdf"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wto.org/dol2fe/Pages/FE_Search/FE_S_S006.aspx?DataSource=Cat&amp;query=@Symbol=WT/DS132/AB/RW&amp;Language=English&amp;Context=ScriptedSearches&amp;languageUIChanged=true" TargetMode="External"/><Relationship Id="rId24" Type="http://schemas.openxmlformats.org/officeDocument/2006/relationships/hyperlink" Target="https://docs.wto.org/dol2fe/Pages/SS/directdoc.aspx?filename=q:/G/MAQRN/UKR2.pdf&amp;Open=True"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28" Type="http://schemas.microsoft.com/office/2016/09/relationships/commentsIds" Target="commentsIds.xml"/><Relationship Id="rId10" Type="http://schemas.openxmlformats.org/officeDocument/2006/relationships/hyperlink" Target="https://docs.wto.org/dol2fe/Pages/FE_Search/FE_S_S006.aspx?DataSource=Cat&amp;query=@Symbol=WT/DS476/R*&amp;Language=English&amp;Context=ScriptedSearches&amp;languageUIChanged=tru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wto.org/dol2fe/Pages/FE_Search/FE_S_S006.aspx?DataSource=Cat&amp;query=@Symbol=WT/DS316/AB/R&amp;Language=English&amp;Context=ScriptedSearches&amp;languageUIChanged=true" TargetMode="External"/><Relationship Id="rId14" Type="http://schemas.openxmlformats.org/officeDocument/2006/relationships/hyperlink" Target="https://docs.wto.org/dol2fe/Pages/FE_Search/FE_S_S006.aspx?DataSource=Cat&amp;query=@Symbol=WT/DS162/AB/R&amp;Language=English&amp;Context=ScriptedSearches&amp;languageUIChanged=true" TargetMode="External"/><Relationship Id="rId22" Type="http://schemas.openxmlformats.org/officeDocument/2006/relationships/hyperlink" Target="https://www.ukrforest.com"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dklg.kmu.gov.ua/forest/document/210432;/monitoring-2020-08.pdf" TargetMode="External"/><Relationship Id="rId2" Type="http://schemas.openxmlformats.org/officeDocument/2006/relationships/hyperlink" Target="http://dklg.kmu.gov.ua/forest/control/uk/publish/article?art_id=207160&amp;cat_id=206804" TargetMode="External"/><Relationship Id="rId1" Type="http://schemas.openxmlformats.org/officeDocument/2006/relationships/hyperlink" Target="http://dx.doi.org/10.1787/5k962hf7hfnr-en" TargetMode="External"/><Relationship Id="rId6" Type="http://schemas.openxmlformats.org/officeDocument/2006/relationships/hyperlink" Target="http://w1.c1.rada.gov.ua/pls/zweb2/webproc4_1?pf3511=60642" TargetMode="External"/><Relationship Id="rId5" Type="http://schemas.openxmlformats.org/officeDocument/2006/relationships/hyperlink" Target="https://www.iucnredlist.org/" TargetMode="External"/><Relationship Id="rId4" Type="http://schemas.openxmlformats.org/officeDocument/2006/relationships/hyperlink" Target="https://cites.org/eng/app/append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53B11F7-FDAB-453F-B734-47283E6FE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72328</Words>
  <Characters>41227</Characters>
  <Application>Microsoft Office Word</Application>
  <DocSecurity>0</DocSecurity>
  <Lines>343</Lines>
  <Paragraphs>226</Paragraphs>
  <ScaleCrop>false</ScaleCrop>
  <HeadingPairs>
    <vt:vector size="8" baseType="variant">
      <vt:variant>
        <vt:lpstr>Назва</vt:lpstr>
      </vt:variant>
      <vt:variant>
        <vt:i4>1</vt:i4>
      </vt:variant>
      <vt:variant>
        <vt:lpstr>Название</vt:lpstr>
      </vt:variant>
      <vt:variant>
        <vt:i4>1</vt:i4>
      </vt:variant>
      <vt:variant>
        <vt:lpstr>Title</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113329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ATT090916</dc:creator>
  <cp:lastModifiedBy>Кізіна Ганна Василівна</cp:lastModifiedBy>
  <cp:revision>3</cp:revision>
  <cp:lastPrinted>2020-07-21T11:11:00Z</cp:lastPrinted>
  <dcterms:created xsi:type="dcterms:W3CDTF">2020-10-06T14:38:00Z</dcterms:created>
  <dcterms:modified xsi:type="dcterms:W3CDTF">2020-10-07T13:48:00Z</dcterms:modified>
</cp:coreProperties>
</file>