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2B" w:rsidRPr="00287006" w:rsidRDefault="00BB4C2B" w:rsidP="00287006">
      <w:pPr>
        <w:shd w:val="clear" w:color="auto" w:fill="FFFFFF"/>
        <w:ind w:firstLine="0"/>
        <w:jc w:val="center"/>
        <w:rPr>
          <w:rFonts w:ascii="Times New Roman" w:eastAsia="Times New Roman" w:hAnsi="Times New Roman" w:cs="Times New Roman"/>
          <w:b/>
          <w:bCs/>
          <w:sz w:val="26"/>
          <w:szCs w:val="26"/>
          <w:lang w:eastAsia="ru-RU"/>
        </w:rPr>
      </w:pPr>
      <w:r w:rsidRPr="00287006">
        <w:rPr>
          <w:rFonts w:ascii="Times New Roman" w:eastAsia="Times New Roman" w:hAnsi="Times New Roman" w:cs="Times New Roman"/>
          <w:b/>
          <w:bCs/>
          <w:sz w:val="26"/>
          <w:szCs w:val="26"/>
          <w:lang w:eastAsia="ru-RU"/>
        </w:rPr>
        <w:t>ПОЯСНЮВАЛЬНА ЗАПИСКА</w:t>
      </w:r>
      <w:r w:rsidRPr="00287006">
        <w:rPr>
          <w:rFonts w:ascii="Times New Roman" w:eastAsia="Times New Roman" w:hAnsi="Times New Roman" w:cs="Times New Roman"/>
          <w:b/>
          <w:bCs/>
          <w:sz w:val="26"/>
          <w:szCs w:val="26"/>
          <w:lang w:eastAsia="ru-RU"/>
        </w:rPr>
        <w:br/>
        <w:t>до проекту постанови Кабінету Міністрів України</w:t>
      </w:r>
      <w:r w:rsidRPr="00287006">
        <w:rPr>
          <w:rFonts w:ascii="Times New Roman" w:eastAsia="Times New Roman" w:hAnsi="Times New Roman" w:cs="Times New Roman"/>
          <w:b/>
          <w:bCs/>
          <w:sz w:val="26"/>
          <w:szCs w:val="26"/>
          <w:lang w:eastAsia="ru-RU"/>
        </w:rPr>
        <w:br/>
        <w:t>«Про затвердження Технічного регламенту щодо безпечності та захищеності хімічної продукції»</w:t>
      </w:r>
    </w:p>
    <w:p w:rsidR="00BB4C2B" w:rsidRPr="00287006" w:rsidRDefault="00BB4C2B" w:rsidP="00287006">
      <w:pPr>
        <w:shd w:val="clear" w:color="auto" w:fill="FFFFFF"/>
        <w:jc w:val="center"/>
        <w:rPr>
          <w:rFonts w:ascii="Times New Roman" w:eastAsia="Times New Roman" w:hAnsi="Times New Roman" w:cs="Times New Roman"/>
          <w:b/>
          <w:bCs/>
          <w:sz w:val="26"/>
          <w:szCs w:val="26"/>
          <w:lang w:val="ru-RU" w:eastAsia="ru-RU"/>
        </w:rPr>
      </w:pPr>
    </w:p>
    <w:p w:rsidR="00BB4C2B" w:rsidRPr="00287006" w:rsidRDefault="00BB4C2B" w:rsidP="00287006">
      <w:pPr>
        <w:pStyle w:val="HTML"/>
        <w:numPr>
          <w:ilvl w:val="0"/>
          <w:numId w:val="1"/>
        </w:numPr>
        <w:ind w:left="709" w:firstLine="0"/>
        <w:jc w:val="both"/>
        <w:rPr>
          <w:rFonts w:ascii="Times New Roman" w:hAnsi="Times New Roman" w:cs="Times New Roman"/>
          <w:b/>
          <w:sz w:val="26"/>
          <w:szCs w:val="26"/>
          <w:lang w:val="uk-UA"/>
        </w:rPr>
      </w:pPr>
      <w:r w:rsidRPr="00287006">
        <w:rPr>
          <w:rFonts w:ascii="Times New Roman" w:hAnsi="Times New Roman" w:cs="Times New Roman"/>
          <w:b/>
          <w:sz w:val="26"/>
          <w:szCs w:val="26"/>
          <w:lang w:val="uk-UA"/>
        </w:rPr>
        <w:t xml:space="preserve">  Резюме.</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r w:rsidRPr="00287006">
        <w:rPr>
          <w:rFonts w:ascii="Times New Roman" w:hAnsi="Times New Roman" w:cs="Times New Roman"/>
          <w:sz w:val="26"/>
          <w:szCs w:val="26"/>
        </w:rPr>
        <w:t>Проект постанови розроблено з метою</w:t>
      </w:r>
      <w:r w:rsidRPr="00287006">
        <w:rPr>
          <w:rFonts w:ascii="Times New Roman" w:eastAsia="Times New Roman" w:hAnsi="Times New Roman" w:cs="Times New Roman"/>
          <w:bCs/>
          <w:sz w:val="26"/>
          <w:szCs w:val="26"/>
          <w:lang w:eastAsia="ru-RU"/>
        </w:rPr>
        <w:t xml:space="preserve"> встановлення правових норм для забезпечення ефективного захисту здоров'я людини і довкілля від впливу хімічної продукції, визначення правил її вільного обігу на внутрішньому ринку України з урахуванням вжитих обмежувальних заходів щодо використання особливо небезпечних хімічних речовин.</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p>
    <w:p w:rsidR="00BB4C2B" w:rsidRPr="00287006" w:rsidRDefault="00BB4C2B" w:rsidP="00287006">
      <w:pPr>
        <w:pStyle w:val="a3"/>
        <w:numPr>
          <w:ilvl w:val="0"/>
          <w:numId w:val="1"/>
        </w:numPr>
        <w:shd w:val="clear" w:color="auto" w:fill="FFFFFF"/>
        <w:tabs>
          <w:tab w:val="left" w:pos="851"/>
        </w:tabs>
        <w:rPr>
          <w:rFonts w:ascii="Times New Roman" w:hAnsi="Times New Roman" w:cs="Times New Roman"/>
          <w:b/>
          <w:sz w:val="26"/>
          <w:szCs w:val="26"/>
        </w:rPr>
      </w:pPr>
      <w:r w:rsidRPr="00287006">
        <w:rPr>
          <w:rFonts w:ascii="Times New Roman" w:hAnsi="Times New Roman" w:cs="Times New Roman"/>
          <w:b/>
          <w:bCs/>
          <w:sz w:val="26"/>
          <w:szCs w:val="26"/>
        </w:rPr>
        <w:t>Проблема, яка потребує розв’язання.</w:t>
      </w:r>
    </w:p>
    <w:p w:rsidR="00BB4C2B" w:rsidRPr="00287006" w:rsidRDefault="00BB4C2B" w:rsidP="00287006">
      <w:pPr>
        <w:shd w:val="clear" w:color="auto" w:fill="FFFFFF"/>
        <w:rPr>
          <w:rFonts w:ascii="Times New Roman" w:eastAsia="Times New Roman" w:hAnsi="Times New Roman" w:cs="Times New Roman"/>
          <w:sz w:val="26"/>
          <w:szCs w:val="26"/>
          <w:lang w:eastAsia="ru-RU"/>
        </w:rPr>
      </w:pPr>
      <w:r w:rsidRPr="00287006">
        <w:rPr>
          <w:rFonts w:ascii="Times New Roman" w:eastAsia="Times New Roman" w:hAnsi="Times New Roman" w:cs="Times New Roman"/>
          <w:sz w:val="26"/>
          <w:szCs w:val="26"/>
          <w:lang w:eastAsia="ru-RU"/>
        </w:rPr>
        <w:t xml:space="preserve">Проект постанови Кабінету Міністрів України «Про затвердження Технічного регламенту щодо безпечності та захищеності хімічної продукції» (далі – проект постанови) розроблено </w:t>
      </w:r>
      <w:r w:rsidRPr="00287006">
        <w:rPr>
          <w:rFonts w:ascii="Times New Roman" w:hAnsi="Times New Roman" w:cs="Times New Roman"/>
          <w:sz w:val="26"/>
          <w:szCs w:val="26"/>
        </w:rPr>
        <w:t>Міністерством розвитку економіки, торгівлі та сільського господарства України</w:t>
      </w:r>
      <w:r w:rsidRPr="00287006">
        <w:rPr>
          <w:rFonts w:ascii="Times New Roman" w:eastAsia="Times New Roman" w:hAnsi="Times New Roman" w:cs="Times New Roman"/>
          <w:sz w:val="26"/>
          <w:szCs w:val="26"/>
          <w:lang w:eastAsia="ru-RU"/>
        </w:rPr>
        <w:t xml:space="preserve"> відповідно до Закону України «Про технічні регламенти та оцінку відповідності», «Правил розроблення проектів технічних регламентів, що затверджуються Кабінетом Міністрів України, на основі актів законодавства Європейського Союзу», затверджених постановою Кабінету Міністрів України від 18 червня 2012 року № 708, з метою гармонізації системи технічного регулювання обігу хімічної продукції в Україні з Регламентом ЄС № 1907/2006 Європейського парламенту та Ради від 18.12.2006 року щодо реєстрації, оцінки, авторизації і обмеження хімічних речовин (REACH).</w:t>
      </w:r>
    </w:p>
    <w:p w:rsidR="00BB4C2B" w:rsidRPr="00287006" w:rsidRDefault="00BB4C2B" w:rsidP="00287006">
      <w:pPr>
        <w:shd w:val="clear" w:color="auto" w:fill="FFFFFF"/>
        <w:rPr>
          <w:rFonts w:ascii="Times New Roman" w:eastAsia="Times New Roman" w:hAnsi="Times New Roman" w:cs="Times New Roman"/>
          <w:sz w:val="26"/>
          <w:szCs w:val="26"/>
          <w:lang w:eastAsia="ru-RU"/>
        </w:rPr>
      </w:pPr>
      <w:r w:rsidRPr="00287006">
        <w:rPr>
          <w:rFonts w:ascii="Times New Roman" w:eastAsia="Times New Roman" w:hAnsi="Times New Roman" w:cs="Times New Roman"/>
          <w:sz w:val="26"/>
          <w:szCs w:val="26"/>
          <w:lang w:eastAsia="ru-RU"/>
        </w:rPr>
        <w:t xml:space="preserve">Наразі в Україні відсутній дієвий контроль за безпечністю хімічної продукції, яка імпортується та виробляється в Україні (обсяг споживання у 2018 році – 12 млрд. </w:t>
      </w:r>
      <w:proofErr w:type="spellStart"/>
      <w:r w:rsidRPr="00287006">
        <w:rPr>
          <w:rFonts w:ascii="Times New Roman" w:eastAsia="Times New Roman" w:hAnsi="Times New Roman" w:cs="Times New Roman"/>
          <w:sz w:val="26"/>
          <w:szCs w:val="26"/>
          <w:lang w:eastAsia="ru-RU"/>
        </w:rPr>
        <w:t>дол</w:t>
      </w:r>
      <w:proofErr w:type="spellEnd"/>
      <w:r w:rsidRPr="00287006">
        <w:rPr>
          <w:rFonts w:ascii="Times New Roman" w:eastAsia="Times New Roman" w:hAnsi="Times New Roman" w:cs="Times New Roman"/>
          <w:sz w:val="26"/>
          <w:szCs w:val="26"/>
          <w:lang w:eastAsia="ru-RU"/>
        </w:rPr>
        <w:t>. США), на внутрішньому ринку присутні значні обсяги контрафактної, неякісної або занадто небезпечної хімічної продукції, а також продукції, яка ввозиться в Україну під чужими митними кодами.</w:t>
      </w:r>
    </w:p>
    <w:p w:rsidR="00BB4C2B" w:rsidRPr="00287006" w:rsidRDefault="00BB4C2B" w:rsidP="00287006">
      <w:pPr>
        <w:shd w:val="clear" w:color="auto" w:fill="FFFFFF"/>
        <w:rPr>
          <w:rFonts w:ascii="Times New Roman" w:eastAsia="Times New Roman" w:hAnsi="Times New Roman" w:cs="Times New Roman"/>
          <w:sz w:val="26"/>
          <w:szCs w:val="26"/>
          <w:lang w:eastAsia="ru-RU"/>
        </w:rPr>
      </w:pPr>
      <w:r w:rsidRPr="00287006">
        <w:rPr>
          <w:rFonts w:ascii="Times New Roman" w:eastAsia="Times New Roman" w:hAnsi="Times New Roman" w:cs="Times New Roman"/>
          <w:sz w:val="26"/>
          <w:szCs w:val="26"/>
          <w:lang w:eastAsia="ru-RU"/>
        </w:rPr>
        <w:t>З іншого боку існують істотні прогалини у зборі, обміні та наданні інформації про хімічні речовини і відходи між різними відомствами, а також у публічному доступі до цієї інформації зацікавлених установ та громадськості. По суті, відсутня інституційно цілісна системи управління хімічними речовинами, частина нормативно-правових актів, які унормовують різні аспекти обігу небезпечних хімічних речовин, суперечать або ж не кореспондуються між собою.</w:t>
      </w:r>
    </w:p>
    <w:p w:rsidR="00BB4C2B" w:rsidRPr="00287006" w:rsidRDefault="00BB4C2B" w:rsidP="00287006">
      <w:pPr>
        <w:shd w:val="clear" w:color="auto" w:fill="FFFFFF"/>
        <w:rPr>
          <w:rFonts w:ascii="Times New Roman" w:hAnsi="Times New Roman" w:cs="Times New Roman"/>
          <w:sz w:val="26"/>
          <w:szCs w:val="26"/>
        </w:rPr>
      </w:pPr>
      <w:r w:rsidRPr="00287006">
        <w:rPr>
          <w:rFonts w:ascii="Times New Roman" w:eastAsia="Times New Roman" w:hAnsi="Times New Roman" w:cs="Times New Roman"/>
          <w:sz w:val="26"/>
          <w:szCs w:val="26"/>
          <w:lang w:eastAsia="ru-RU"/>
        </w:rPr>
        <w:t>Технічний регламент вперше встановлює системні вимоги щодо безпечного виробництва, надання на ринку та використання хімічної продукції для усіх без винятку суб’єктів господарювання, включаючи імпортерів та уповноважених представників іноземних товаровиробників, а також щодо оприлюднення  вичерпної інформації про  усі хімічні речовини, які надаються на ринку України у складі хімічної продукції.</w:t>
      </w:r>
      <w:r w:rsidRPr="00287006">
        <w:rPr>
          <w:rFonts w:ascii="Times New Roman" w:hAnsi="Times New Roman" w:cs="Times New Roman"/>
          <w:sz w:val="26"/>
          <w:szCs w:val="26"/>
        </w:rPr>
        <w:t xml:space="preserve"> </w:t>
      </w:r>
    </w:p>
    <w:p w:rsidR="00BB4C2B" w:rsidRPr="00287006" w:rsidRDefault="00BB4C2B" w:rsidP="00287006">
      <w:pPr>
        <w:shd w:val="clear" w:color="auto" w:fill="FFFFFF"/>
        <w:rPr>
          <w:rFonts w:ascii="Times New Roman" w:hAnsi="Times New Roman" w:cs="Times New Roman"/>
          <w:sz w:val="26"/>
          <w:szCs w:val="26"/>
        </w:rPr>
      </w:pPr>
      <w:r w:rsidRPr="00287006">
        <w:rPr>
          <w:rFonts w:ascii="Times New Roman" w:hAnsi="Times New Roman" w:cs="Times New Roman"/>
          <w:sz w:val="26"/>
          <w:szCs w:val="26"/>
        </w:rPr>
        <w:t>Досвід впровадження Регламенту  ЄС № 1907/2006 в країнах Європейського Союзу упродовж 10 років та аналогічних законодавчих актів у 32 країнах світу підтверджує доцільність імплементації Регламенту № 1907/2006 в Україні з урахуванням окремих особливостей функціонування національного нормативно-правового поля.</w:t>
      </w:r>
    </w:p>
    <w:p w:rsidR="00BB4C2B" w:rsidRPr="00287006" w:rsidRDefault="00BB4C2B" w:rsidP="00287006">
      <w:pPr>
        <w:pStyle w:val="HTML"/>
        <w:shd w:val="clear" w:color="auto" w:fill="FFFFFF"/>
        <w:ind w:firstLine="709"/>
        <w:jc w:val="both"/>
        <w:textAlignment w:val="baseline"/>
        <w:rPr>
          <w:rFonts w:ascii="Times New Roman" w:hAnsi="Times New Roman" w:cs="Times New Roman"/>
          <w:b/>
          <w:sz w:val="26"/>
          <w:szCs w:val="26"/>
          <w:lang w:val="uk-UA"/>
        </w:rPr>
      </w:pPr>
    </w:p>
    <w:p w:rsidR="00BB4C2B" w:rsidRPr="00287006" w:rsidRDefault="00BB4C2B" w:rsidP="00287006">
      <w:pPr>
        <w:pStyle w:val="HTML"/>
        <w:shd w:val="clear" w:color="auto" w:fill="FFFFFF"/>
        <w:ind w:firstLine="709"/>
        <w:jc w:val="both"/>
        <w:textAlignment w:val="baseline"/>
        <w:rPr>
          <w:rFonts w:ascii="Times New Roman" w:hAnsi="Times New Roman" w:cs="Times New Roman"/>
          <w:b/>
          <w:sz w:val="26"/>
          <w:szCs w:val="26"/>
          <w:lang w:val="uk-UA"/>
        </w:rPr>
      </w:pPr>
      <w:r w:rsidRPr="00287006">
        <w:rPr>
          <w:rFonts w:ascii="Times New Roman" w:hAnsi="Times New Roman" w:cs="Times New Roman"/>
          <w:b/>
          <w:sz w:val="26"/>
          <w:szCs w:val="26"/>
          <w:lang w:val="uk-UA"/>
        </w:rPr>
        <w:lastRenderedPageBreak/>
        <w:t xml:space="preserve">3. Суть проекту </w:t>
      </w:r>
      <w:proofErr w:type="spellStart"/>
      <w:r w:rsidRPr="00287006">
        <w:rPr>
          <w:rFonts w:ascii="Times New Roman" w:hAnsi="Times New Roman" w:cs="Times New Roman"/>
          <w:b/>
          <w:sz w:val="26"/>
          <w:szCs w:val="26"/>
          <w:lang w:val="uk-UA"/>
        </w:rPr>
        <w:t>акта</w:t>
      </w:r>
      <w:proofErr w:type="spellEnd"/>
    </w:p>
    <w:p w:rsidR="00BB4C2B" w:rsidRPr="00287006" w:rsidRDefault="00BB4C2B" w:rsidP="00287006">
      <w:pPr>
        <w:shd w:val="clear" w:color="auto" w:fill="FFFFFF"/>
        <w:ind w:firstLine="708"/>
        <w:rPr>
          <w:rFonts w:ascii="Times New Roman" w:eastAsia="Times New Roman" w:hAnsi="Times New Roman" w:cs="Times New Roman"/>
          <w:bCs/>
          <w:sz w:val="26"/>
          <w:szCs w:val="26"/>
          <w:lang w:eastAsia="ru-RU"/>
        </w:rPr>
      </w:pPr>
      <w:r w:rsidRPr="00287006">
        <w:rPr>
          <w:rFonts w:ascii="Times New Roman" w:eastAsia="Times New Roman" w:hAnsi="Times New Roman" w:cs="Times New Roman"/>
          <w:bCs/>
          <w:sz w:val="26"/>
          <w:szCs w:val="26"/>
          <w:lang w:eastAsia="ru-RU"/>
        </w:rPr>
        <w:t>Проектом акту пропонується затвердження Технічного регламенту щодо безпечності та захищеності хімічної продукції, яким встановлюються правові норми для забезпечення ефективного захисту здоров'я людини і довкілля від впливу хімічної продукції, правил її вільного обігу на внутрішньому ринку України з урахуванням вжитих обмежувальних заходів щодо використання особливо небезпечних хімічних речовин, впровадження сучасного ризик-орієнтованого підходу для оцінки ризиків використання хімічної продукції, забезпечення рівних конкурентних умов для усіх суб’єктів господарювання, створення Державного реєстру хімічних речовин, а також імплементація Стратегічного підходу до міжнародного регулювання хімічних речовин (SAICM) на національному рівні.</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r w:rsidRPr="00287006">
        <w:rPr>
          <w:rFonts w:ascii="Times New Roman" w:eastAsia="Times New Roman" w:hAnsi="Times New Roman" w:cs="Times New Roman"/>
          <w:bCs/>
          <w:sz w:val="26"/>
          <w:szCs w:val="26"/>
          <w:lang w:eastAsia="ru-RU"/>
        </w:rPr>
        <w:t>Хімічна продукція відповідно до впроваджуваних вимог може бути надана на внутрішньому ринку України лише за умови документально підтвердженого через систему реєстрації хімічних речовин</w:t>
      </w:r>
      <w:r w:rsidRPr="00287006">
        <w:rPr>
          <w:rFonts w:ascii="Times New Roman" w:hAnsi="Times New Roman" w:cs="Times New Roman"/>
          <w:sz w:val="26"/>
          <w:szCs w:val="26"/>
        </w:rPr>
        <w:t xml:space="preserve"> </w:t>
      </w:r>
      <w:r w:rsidRPr="00287006">
        <w:rPr>
          <w:rFonts w:ascii="Times New Roman" w:eastAsia="Times New Roman" w:hAnsi="Times New Roman" w:cs="Times New Roman"/>
          <w:bCs/>
          <w:sz w:val="26"/>
          <w:szCs w:val="26"/>
          <w:lang w:eastAsia="ru-RU"/>
        </w:rPr>
        <w:t>за ступенем небезпеки (ризиків) та тоннажем гарантування з боку виробників, імпортерів, постачальників та інших операторів ринку, що виробництво, надання на ринку України, використання та утилізація хімічної продукції є безпечними для здоров’я людини та довкілля протягом всього життєвого циклу.</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r w:rsidRPr="00287006">
        <w:rPr>
          <w:rFonts w:ascii="Times New Roman" w:eastAsia="Times New Roman" w:hAnsi="Times New Roman" w:cs="Times New Roman"/>
          <w:bCs/>
          <w:sz w:val="26"/>
          <w:szCs w:val="26"/>
          <w:lang w:eastAsia="ru-RU"/>
        </w:rPr>
        <w:t xml:space="preserve">Запропоновані критерії </w:t>
      </w:r>
      <w:proofErr w:type="spellStart"/>
      <w:r w:rsidRPr="00287006">
        <w:rPr>
          <w:rFonts w:ascii="Times New Roman" w:eastAsia="Times New Roman" w:hAnsi="Times New Roman" w:cs="Times New Roman"/>
          <w:bCs/>
          <w:sz w:val="26"/>
          <w:szCs w:val="26"/>
          <w:lang w:eastAsia="ru-RU"/>
        </w:rPr>
        <w:t>пріоритизації</w:t>
      </w:r>
      <w:proofErr w:type="spellEnd"/>
      <w:r w:rsidRPr="00287006">
        <w:rPr>
          <w:rFonts w:ascii="Times New Roman" w:eastAsia="Times New Roman" w:hAnsi="Times New Roman" w:cs="Times New Roman"/>
          <w:bCs/>
          <w:sz w:val="26"/>
          <w:szCs w:val="26"/>
          <w:lang w:eastAsia="ru-RU"/>
        </w:rPr>
        <w:t xml:space="preserve"> хімічних речовин обумовлять  поступове витіснення з ринку найбільш небезпечних хімічних речовин з підвищеним негативним впливом на довкілля та здоров’я людини, а також забезпечать більш надійний контроль обігу отруйних хімічних речовин та продуктів подвійного призначення.</w:t>
      </w:r>
      <w:r w:rsidRPr="00287006">
        <w:rPr>
          <w:rFonts w:ascii="Times New Roman" w:hAnsi="Times New Roman" w:cs="Times New Roman"/>
          <w:sz w:val="26"/>
          <w:szCs w:val="26"/>
        </w:rPr>
        <w:t xml:space="preserve">  До </w:t>
      </w:r>
      <w:r w:rsidRPr="00287006">
        <w:rPr>
          <w:rFonts w:ascii="Times New Roman" w:eastAsia="Times New Roman" w:hAnsi="Times New Roman" w:cs="Times New Roman"/>
          <w:bCs/>
          <w:sz w:val="26"/>
          <w:szCs w:val="26"/>
          <w:lang w:eastAsia="ru-RU"/>
        </w:rPr>
        <w:t>Державного реєстру хімічних речовин та повноцінних інформаційних баз даних хімічних речовин буде забезпечений доступ з боку промисловості, органів державного контролю та фахівців.</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r w:rsidRPr="00287006">
        <w:rPr>
          <w:rFonts w:ascii="Times New Roman" w:eastAsia="Times New Roman" w:hAnsi="Times New Roman" w:cs="Times New Roman"/>
          <w:bCs/>
          <w:sz w:val="26"/>
          <w:szCs w:val="26"/>
          <w:lang w:eastAsia="ru-RU"/>
        </w:rPr>
        <w:t>Більшість найважливіших вимог Технічного регламенту щодо безпечності та захищеності хімічної продукції передбачають проведення класифікації небезпеки хімічної продукції відповідно до критеріїв, які викладені у Технічному регламенті щодо класифікації небезпеки, попереджувального маркування та пакування хімічної продукції.</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r w:rsidRPr="00287006">
        <w:rPr>
          <w:rFonts w:ascii="Times New Roman" w:eastAsia="Times New Roman" w:hAnsi="Times New Roman" w:cs="Times New Roman"/>
          <w:bCs/>
          <w:sz w:val="26"/>
          <w:szCs w:val="26"/>
          <w:lang w:eastAsia="ru-RU"/>
        </w:rPr>
        <w:t>Технічний регламент щодо безпечності та захищеності хімічної продукції та Технічний регламент щодо класифікації небезпеки, попереджувального маркування та пакування хімічної продукції, є повністю пов’язаними нормативно-правовими актами, вони містять велику кількість взаємних нормативних посилань, передбачається одночасне їх правозастосування з урахуванням перехідних положень.</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r w:rsidRPr="00287006">
        <w:rPr>
          <w:rFonts w:ascii="Times New Roman" w:eastAsia="Times New Roman" w:hAnsi="Times New Roman" w:cs="Times New Roman"/>
          <w:bCs/>
          <w:sz w:val="26"/>
          <w:szCs w:val="26"/>
          <w:lang w:eastAsia="ru-RU"/>
        </w:rPr>
        <w:t>Проектом постанови передбачається призначення міністерства, до повноважень якого буде віднесено впровадження Технічного регламенту та  його адміністрування,</w:t>
      </w:r>
      <w:r w:rsidRPr="00287006">
        <w:rPr>
          <w:rFonts w:ascii="Times New Roman" w:hAnsi="Times New Roman" w:cs="Times New Roman"/>
          <w:sz w:val="26"/>
          <w:szCs w:val="26"/>
        </w:rPr>
        <w:t xml:space="preserve"> </w:t>
      </w:r>
      <w:r w:rsidRPr="00287006">
        <w:rPr>
          <w:rFonts w:ascii="Times New Roman" w:eastAsia="Times New Roman" w:hAnsi="Times New Roman" w:cs="Times New Roman"/>
          <w:bCs/>
          <w:sz w:val="26"/>
          <w:szCs w:val="26"/>
          <w:lang w:eastAsia="ru-RU"/>
        </w:rPr>
        <w:t>затвердження плану заходів з його застосування,  внесення відповідних змін до чинних нормативно-правових актів, які забезпечать імплементацію Технічного регламенту.</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p>
    <w:p w:rsidR="00BB4C2B" w:rsidRPr="00287006" w:rsidRDefault="00BB4C2B" w:rsidP="00287006">
      <w:pPr>
        <w:shd w:val="clear" w:color="auto" w:fill="FFFFFF"/>
        <w:rPr>
          <w:rFonts w:ascii="Times New Roman" w:eastAsia="Times New Roman" w:hAnsi="Times New Roman" w:cs="Times New Roman"/>
          <w:b/>
          <w:bCs/>
          <w:sz w:val="26"/>
          <w:szCs w:val="26"/>
          <w:lang w:eastAsia="ru-RU"/>
        </w:rPr>
      </w:pPr>
      <w:r w:rsidRPr="00287006">
        <w:rPr>
          <w:rFonts w:ascii="Times New Roman" w:eastAsia="Times New Roman" w:hAnsi="Times New Roman" w:cs="Times New Roman"/>
          <w:b/>
          <w:bCs/>
          <w:sz w:val="26"/>
          <w:szCs w:val="26"/>
          <w:lang w:eastAsia="ru-RU"/>
        </w:rPr>
        <w:t>4. Вплив на бюджет.</w:t>
      </w:r>
    </w:p>
    <w:p w:rsidR="00BB4C2B" w:rsidRPr="00287006" w:rsidRDefault="00BB4C2B" w:rsidP="00287006">
      <w:pPr>
        <w:shd w:val="clear" w:color="auto" w:fill="FFFFFF"/>
        <w:rPr>
          <w:rFonts w:ascii="Times New Roman" w:eastAsia="Times New Roman" w:hAnsi="Times New Roman" w:cs="Times New Roman"/>
          <w:sz w:val="26"/>
          <w:szCs w:val="26"/>
          <w:lang w:eastAsia="ru-RU"/>
        </w:rPr>
      </w:pPr>
      <w:r w:rsidRPr="00287006">
        <w:rPr>
          <w:rFonts w:ascii="Times New Roman" w:eastAsia="Times New Roman" w:hAnsi="Times New Roman" w:cs="Times New Roman"/>
          <w:sz w:val="26"/>
          <w:szCs w:val="26"/>
          <w:lang w:eastAsia="ru-RU"/>
        </w:rPr>
        <w:t>Реалізація проекту постанови не потребує додаткових фінансових та інших витрат з державного та місцевих бюджетів.</w:t>
      </w:r>
    </w:p>
    <w:p w:rsidR="00BB4C2B" w:rsidRPr="00287006" w:rsidRDefault="00BB4C2B" w:rsidP="00287006">
      <w:pPr>
        <w:shd w:val="clear" w:color="auto" w:fill="FFFFFF" w:themeFill="background1"/>
        <w:rPr>
          <w:rFonts w:ascii="Times New Roman" w:eastAsia="Times New Roman" w:hAnsi="Times New Roman" w:cs="Times New Roman"/>
          <w:sz w:val="26"/>
          <w:szCs w:val="26"/>
          <w:lang w:eastAsia="ru-RU"/>
        </w:rPr>
      </w:pPr>
      <w:r w:rsidRPr="00287006">
        <w:rPr>
          <w:rFonts w:ascii="Times New Roman" w:eastAsia="Times New Roman" w:hAnsi="Times New Roman" w:cs="Times New Roman"/>
          <w:sz w:val="26"/>
          <w:szCs w:val="26"/>
          <w:lang w:eastAsia="ru-RU"/>
        </w:rPr>
        <w:t>Всі видатки по заходам з впровадження Технічного регламенту будуть здійснюватися в межах коштів, передбачених головними розпорядниками на відповідний бюджетний рік.</w:t>
      </w:r>
    </w:p>
    <w:p w:rsidR="00BB4C2B" w:rsidRPr="00287006" w:rsidRDefault="00BB4C2B" w:rsidP="00287006">
      <w:pPr>
        <w:shd w:val="clear" w:color="auto" w:fill="FFFFFF"/>
        <w:rPr>
          <w:rFonts w:ascii="Times New Roman" w:eastAsia="Times New Roman" w:hAnsi="Times New Roman" w:cs="Times New Roman"/>
          <w:bCs/>
          <w:sz w:val="26"/>
          <w:szCs w:val="26"/>
          <w:lang w:eastAsia="ru-RU"/>
        </w:rPr>
      </w:pPr>
    </w:p>
    <w:p w:rsidR="00BB4C2B" w:rsidRPr="00287006" w:rsidRDefault="00BB4C2B" w:rsidP="00287006">
      <w:pPr>
        <w:shd w:val="clear" w:color="auto" w:fill="FFFFFF"/>
        <w:rPr>
          <w:rFonts w:ascii="Times New Roman" w:eastAsia="Times New Roman" w:hAnsi="Times New Roman" w:cs="Times New Roman"/>
          <w:b/>
          <w:bCs/>
          <w:sz w:val="26"/>
          <w:szCs w:val="26"/>
          <w:lang w:val="ru-RU" w:eastAsia="ru-RU"/>
        </w:rPr>
      </w:pPr>
      <w:r w:rsidRPr="00287006">
        <w:rPr>
          <w:rFonts w:ascii="Times New Roman" w:eastAsia="Times New Roman" w:hAnsi="Times New Roman" w:cs="Times New Roman"/>
          <w:b/>
          <w:bCs/>
          <w:sz w:val="26"/>
          <w:szCs w:val="26"/>
          <w:lang w:eastAsia="ru-RU"/>
        </w:rPr>
        <w:t>5. Позиція заінтересованих сторін.</w:t>
      </w:r>
    </w:p>
    <w:p w:rsidR="007B4BE2" w:rsidRPr="00287006" w:rsidRDefault="007B4BE2" w:rsidP="00287006">
      <w:pPr>
        <w:shd w:val="clear" w:color="auto" w:fill="FFFFFF"/>
        <w:ind w:firstLine="706"/>
        <w:rPr>
          <w:rFonts w:ascii="Times New Roman" w:hAnsi="Times New Roman" w:cs="Times New Roman"/>
          <w:sz w:val="26"/>
          <w:szCs w:val="26"/>
        </w:rPr>
      </w:pPr>
      <w:r w:rsidRPr="00287006">
        <w:rPr>
          <w:rFonts w:ascii="Times New Roman" w:hAnsi="Times New Roman" w:cs="Times New Roman"/>
          <w:spacing w:val="-1"/>
          <w:sz w:val="26"/>
          <w:szCs w:val="26"/>
        </w:rPr>
        <w:t xml:space="preserve">Проект </w:t>
      </w:r>
      <w:proofErr w:type="spellStart"/>
      <w:r w:rsidRPr="00287006">
        <w:rPr>
          <w:rFonts w:ascii="Times New Roman" w:hAnsi="Times New Roman" w:cs="Times New Roman"/>
          <w:bCs/>
          <w:spacing w:val="-13"/>
          <w:sz w:val="26"/>
          <w:szCs w:val="26"/>
        </w:rPr>
        <w:t>акта</w:t>
      </w:r>
      <w:proofErr w:type="spellEnd"/>
      <w:r w:rsidRPr="00287006">
        <w:rPr>
          <w:rFonts w:ascii="Times New Roman" w:hAnsi="Times New Roman" w:cs="Times New Roman"/>
          <w:spacing w:val="-1"/>
          <w:sz w:val="26"/>
          <w:szCs w:val="26"/>
        </w:rPr>
        <w:t xml:space="preserve"> не стосується питання розвитку </w:t>
      </w:r>
      <w:r w:rsidRPr="00287006">
        <w:rPr>
          <w:rFonts w:ascii="Times New Roman" w:hAnsi="Times New Roman" w:cs="Times New Roman"/>
          <w:sz w:val="26"/>
          <w:szCs w:val="26"/>
        </w:rPr>
        <w:t>адміністративно-територіальних одиниць.</w:t>
      </w:r>
    </w:p>
    <w:p w:rsidR="007B4BE2" w:rsidRPr="00287006" w:rsidRDefault="007B4BE2" w:rsidP="00287006">
      <w:pPr>
        <w:shd w:val="clear" w:color="auto" w:fill="FFFFFF"/>
        <w:ind w:firstLine="706"/>
        <w:rPr>
          <w:rFonts w:ascii="Times New Roman" w:hAnsi="Times New Roman" w:cs="Times New Roman"/>
          <w:sz w:val="26"/>
          <w:szCs w:val="26"/>
        </w:rPr>
      </w:pPr>
      <w:r w:rsidRPr="00287006">
        <w:rPr>
          <w:rFonts w:ascii="Times New Roman" w:hAnsi="Times New Roman" w:cs="Times New Roman"/>
          <w:sz w:val="26"/>
          <w:szCs w:val="26"/>
        </w:rPr>
        <w:t xml:space="preserve">Проект </w:t>
      </w:r>
      <w:proofErr w:type="spellStart"/>
      <w:r w:rsidRPr="00287006">
        <w:rPr>
          <w:rFonts w:ascii="Times New Roman" w:hAnsi="Times New Roman" w:cs="Times New Roman"/>
          <w:bCs/>
          <w:spacing w:val="-13"/>
          <w:sz w:val="26"/>
          <w:szCs w:val="26"/>
        </w:rPr>
        <w:t>акта</w:t>
      </w:r>
      <w:proofErr w:type="spellEnd"/>
      <w:r w:rsidRPr="00287006">
        <w:rPr>
          <w:rFonts w:ascii="Times New Roman" w:hAnsi="Times New Roman" w:cs="Times New Roman"/>
          <w:sz w:val="26"/>
          <w:szCs w:val="26"/>
        </w:rPr>
        <w:t xml:space="preserve"> не стосується соціально-трудової сфери.</w:t>
      </w:r>
    </w:p>
    <w:p w:rsidR="007B4BE2" w:rsidRPr="00287006" w:rsidRDefault="007B4BE2" w:rsidP="00287006">
      <w:pPr>
        <w:shd w:val="clear" w:color="auto" w:fill="FFFFFF"/>
        <w:ind w:firstLine="706"/>
        <w:rPr>
          <w:rFonts w:ascii="Times New Roman" w:hAnsi="Times New Roman" w:cs="Times New Roman"/>
          <w:sz w:val="26"/>
          <w:szCs w:val="26"/>
        </w:rPr>
      </w:pPr>
      <w:r w:rsidRPr="00287006">
        <w:rPr>
          <w:rFonts w:ascii="Times New Roman" w:hAnsi="Times New Roman" w:cs="Times New Roman"/>
          <w:sz w:val="26"/>
          <w:szCs w:val="26"/>
        </w:rPr>
        <w:t xml:space="preserve">Проект </w:t>
      </w:r>
      <w:proofErr w:type="spellStart"/>
      <w:r w:rsidRPr="00287006">
        <w:rPr>
          <w:rFonts w:ascii="Times New Roman" w:hAnsi="Times New Roman" w:cs="Times New Roman"/>
          <w:bCs/>
          <w:spacing w:val="-13"/>
          <w:sz w:val="26"/>
          <w:szCs w:val="26"/>
        </w:rPr>
        <w:t>акта</w:t>
      </w:r>
      <w:proofErr w:type="spellEnd"/>
      <w:r w:rsidRPr="00287006">
        <w:rPr>
          <w:rFonts w:ascii="Times New Roman" w:hAnsi="Times New Roman" w:cs="Times New Roman"/>
          <w:sz w:val="26"/>
          <w:szCs w:val="26"/>
        </w:rPr>
        <w:t xml:space="preserve"> не впливає на ринок праці.</w:t>
      </w:r>
    </w:p>
    <w:p w:rsidR="007B4BE2" w:rsidRPr="00287006" w:rsidRDefault="007B4BE2" w:rsidP="00287006">
      <w:pPr>
        <w:shd w:val="clear" w:color="auto" w:fill="FFFFFF"/>
        <w:rPr>
          <w:rFonts w:ascii="Times New Roman" w:hAnsi="Times New Roman" w:cs="Times New Roman"/>
          <w:sz w:val="26"/>
          <w:szCs w:val="26"/>
        </w:rPr>
      </w:pPr>
      <w:r w:rsidRPr="00287006">
        <w:rPr>
          <w:rFonts w:ascii="Times New Roman" w:hAnsi="Times New Roman" w:cs="Times New Roman"/>
          <w:sz w:val="26"/>
          <w:szCs w:val="26"/>
        </w:rPr>
        <w:t xml:space="preserve">Проект </w:t>
      </w:r>
      <w:proofErr w:type="spellStart"/>
      <w:r w:rsidRPr="00287006">
        <w:rPr>
          <w:rFonts w:ascii="Times New Roman" w:hAnsi="Times New Roman" w:cs="Times New Roman"/>
          <w:bCs/>
          <w:spacing w:val="-13"/>
          <w:sz w:val="26"/>
          <w:szCs w:val="26"/>
        </w:rPr>
        <w:t>акта</w:t>
      </w:r>
      <w:proofErr w:type="spellEnd"/>
      <w:r w:rsidRPr="00287006">
        <w:rPr>
          <w:rFonts w:ascii="Times New Roman" w:hAnsi="Times New Roman" w:cs="Times New Roman"/>
          <w:sz w:val="26"/>
          <w:szCs w:val="26"/>
        </w:rPr>
        <w:t xml:space="preserve"> є регуляторним актом, ціль якого – адаптація нормативно-правових актів України з питань зменшення дії небезпечних хімічних речовин на життя і здоров'я людини до відповідних вимог нормативно-правових актів держав-членів Європейського Союзу.</w:t>
      </w:r>
    </w:p>
    <w:p w:rsidR="00BB4C2B" w:rsidRPr="00287006" w:rsidRDefault="007B4BE2" w:rsidP="00287006">
      <w:pPr>
        <w:shd w:val="clear" w:color="auto" w:fill="FFFFFF"/>
        <w:rPr>
          <w:rFonts w:ascii="Times New Roman" w:hAnsi="Times New Roman" w:cs="Times New Roman"/>
          <w:sz w:val="26"/>
          <w:szCs w:val="26"/>
          <w:lang w:val="ru-RU"/>
        </w:rPr>
      </w:pPr>
      <w:r w:rsidRPr="00287006">
        <w:rPr>
          <w:rFonts w:ascii="Times New Roman" w:hAnsi="Times New Roman" w:cs="Times New Roman"/>
          <w:sz w:val="26"/>
          <w:szCs w:val="26"/>
        </w:rPr>
        <w:t xml:space="preserve">Проект </w:t>
      </w:r>
      <w:proofErr w:type="spellStart"/>
      <w:r w:rsidRPr="00287006">
        <w:rPr>
          <w:rFonts w:ascii="Times New Roman" w:hAnsi="Times New Roman" w:cs="Times New Roman"/>
          <w:sz w:val="26"/>
          <w:szCs w:val="26"/>
        </w:rPr>
        <w:t>акта</w:t>
      </w:r>
      <w:proofErr w:type="spellEnd"/>
      <w:r w:rsidRPr="00287006">
        <w:rPr>
          <w:rFonts w:ascii="Times New Roman" w:hAnsi="Times New Roman" w:cs="Times New Roman"/>
          <w:sz w:val="26"/>
          <w:szCs w:val="26"/>
        </w:rPr>
        <w:t xml:space="preserve"> потребує оприлюднення на офіційному веб-сайті  Мінекономіки (</w:t>
      </w:r>
      <w:hyperlink r:id="rId8" w:history="1">
        <w:r w:rsidRPr="00287006">
          <w:rPr>
            <w:rStyle w:val="a4"/>
            <w:rFonts w:ascii="Times New Roman" w:hAnsi="Times New Roman"/>
            <w:color w:val="auto"/>
            <w:sz w:val="26"/>
            <w:szCs w:val="26"/>
            <w:lang w:val="en-US"/>
          </w:rPr>
          <w:t>www</w:t>
        </w:r>
        <w:r w:rsidRPr="00287006">
          <w:rPr>
            <w:rStyle w:val="a4"/>
            <w:rFonts w:ascii="Times New Roman" w:hAnsi="Times New Roman"/>
            <w:color w:val="auto"/>
            <w:sz w:val="26"/>
            <w:szCs w:val="26"/>
          </w:rPr>
          <w:t>.</w:t>
        </w:r>
        <w:r w:rsidRPr="00287006">
          <w:rPr>
            <w:rStyle w:val="a4"/>
            <w:rFonts w:ascii="Times New Roman" w:hAnsi="Times New Roman"/>
            <w:color w:val="auto"/>
            <w:sz w:val="26"/>
            <w:szCs w:val="26"/>
            <w:lang w:val="en-US"/>
          </w:rPr>
          <w:t>me</w:t>
        </w:r>
        <w:r w:rsidRPr="00287006">
          <w:rPr>
            <w:rStyle w:val="a4"/>
            <w:rFonts w:ascii="Times New Roman" w:hAnsi="Times New Roman"/>
            <w:color w:val="auto"/>
            <w:sz w:val="26"/>
            <w:szCs w:val="26"/>
          </w:rPr>
          <w:t>.</w:t>
        </w:r>
        <w:proofErr w:type="spellStart"/>
        <w:r w:rsidRPr="00287006">
          <w:rPr>
            <w:rStyle w:val="a4"/>
            <w:rFonts w:ascii="Times New Roman" w:hAnsi="Times New Roman"/>
            <w:color w:val="auto"/>
            <w:sz w:val="26"/>
            <w:szCs w:val="26"/>
            <w:lang w:val="en-US"/>
          </w:rPr>
          <w:t>gov</w:t>
        </w:r>
        <w:proofErr w:type="spellEnd"/>
        <w:r w:rsidRPr="00287006">
          <w:rPr>
            <w:rStyle w:val="a4"/>
            <w:rFonts w:ascii="Times New Roman" w:hAnsi="Times New Roman"/>
            <w:color w:val="auto"/>
            <w:sz w:val="26"/>
            <w:szCs w:val="26"/>
          </w:rPr>
          <w:t>.</w:t>
        </w:r>
        <w:proofErr w:type="spellStart"/>
        <w:r w:rsidRPr="00287006">
          <w:rPr>
            <w:rStyle w:val="a4"/>
            <w:rFonts w:ascii="Times New Roman" w:hAnsi="Times New Roman"/>
            <w:color w:val="auto"/>
            <w:sz w:val="26"/>
            <w:szCs w:val="26"/>
            <w:lang w:val="en-US"/>
          </w:rPr>
          <w:t>ua</w:t>
        </w:r>
        <w:proofErr w:type="spellEnd"/>
      </w:hyperlink>
      <w:r w:rsidRPr="00287006">
        <w:rPr>
          <w:rFonts w:ascii="Times New Roman" w:hAnsi="Times New Roman" w:cs="Times New Roman"/>
          <w:sz w:val="26"/>
          <w:szCs w:val="26"/>
        </w:rPr>
        <w:t>).</w:t>
      </w:r>
    </w:p>
    <w:p w:rsidR="007B4BE2" w:rsidRPr="00287006" w:rsidRDefault="007B4BE2" w:rsidP="00287006">
      <w:pPr>
        <w:shd w:val="clear" w:color="auto" w:fill="FFFFFF"/>
        <w:rPr>
          <w:rFonts w:ascii="Times New Roman" w:eastAsia="Times New Roman" w:hAnsi="Times New Roman" w:cs="Times New Roman"/>
          <w:bCs/>
          <w:sz w:val="26"/>
          <w:szCs w:val="26"/>
          <w:lang w:val="ru-RU" w:eastAsia="ru-RU"/>
        </w:rPr>
      </w:pPr>
    </w:p>
    <w:p w:rsidR="007B4BE2" w:rsidRPr="00287006" w:rsidRDefault="007B4BE2" w:rsidP="00287006">
      <w:pPr>
        <w:pStyle w:val="HTML"/>
        <w:ind w:firstLine="720"/>
        <w:jc w:val="both"/>
        <w:rPr>
          <w:rFonts w:ascii="Times New Roman" w:hAnsi="Times New Roman" w:cs="Times New Roman"/>
          <w:b/>
          <w:sz w:val="26"/>
          <w:szCs w:val="26"/>
          <w:lang w:val="uk-UA"/>
        </w:rPr>
      </w:pPr>
      <w:r w:rsidRPr="00287006">
        <w:rPr>
          <w:rFonts w:ascii="Times New Roman" w:hAnsi="Times New Roman" w:cs="Times New Roman"/>
          <w:b/>
          <w:sz w:val="26"/>
          <w:szCs w:val="26"/>
          <w:lang w:val="uk-UA"/>
        </w:rPr>
        <w:t>6. Прогноз впливу</w:t>
      </w:r>
    </w:p>
    <w:p w:rsidR="007B4BE2" w:rsidRPr="00287006" w:rsidRDefault="007B4BE2" w:rsidP="00287006">
      <w:pPr>
        <w:ind w:firstLine="708"/>
        <w:rPr>
          <w:rFonts w:ascii="Times New Roman" w:hAnsi="Times New Roman"/>
          <w:sz w:val="26"/>
          <w:szCs w:val="26"/>
        </w:rPr>
      </w:pPr>
      <w:r w:rsidRPr="00287006">
        <w:rPr>
          <w:rFonts w:ascii="Times New Roman" w:hAnsi="Times New Roman"/>
          <w:sz w:val="26"/>
          <w:szCs w:val="26"/>
        </w:rPr>
        <w:t xml:space="preserve">Прийняття </w:t>
      </w:r>
      <w:proofErr w:type="spellStart"/>
      <w:r w:rsidRPr="00287006">
        <w:rPr>
          <w:rFonts w:ascii="Times New Roman" w:hAnsi="Times New Roman"/>
          <w:sz w:val="26"/>
          <w:szCs w:val="26"/>
        </w:rPr>
        <w:t>акта</w:t>
      </w:r>
      <w:proofErr w:type="spellEnd"/>
      <w:r w:rsidRPr="00287006">
        <w:rPr>
          <w:rFonts w:ascii="Times New Roman" w:hAnsi="Times New Roman"/>
          <w:sz w:val="26"/>
          <w:szCs w:val="26"/>
        </w:rPr>
        <w:t xml:space="preserve"> не матиме негативного впливу на ринкове середовище, забезпечення захисту прав та інтересів суб’єктів господарювання, громадян і держави.</w:t>
      </w:r>
    </w:p>
    <w:p w:rsidR="007B4BE2" w:rsidRPr="00287006" w:rsidRDefault="007B4BE2" w:rsidP="00287006">
      <w:pPr>
        <w:ind w:firstLine="708"/>
        <w:rPr>
          <w:rFonts w:ascii="Times New Roman" w:hAnsi="Times New Roman"/>
          <w:sz w:val="26"/>
          <w:szCs w:val="26"/>
        </w:rPr>
      </w:pPr>
      <w:r w:rsidRPr="00287006">
        <w:rPr>
          <w:rFonts w:ascii="Times New Roman" w:hAnsi="Times New Roman"/>
          <w:sz w:val="26"/>
          <w:szCs w:val="26"/>
        </w:rPr>
        <w:t xml:space="preserve">Реалізація </w:t>
      </w:r>
      <w:proofErr w:type="spellStart"/>
      <w:r w:rsidRPr="00287006">
        <w:rPr>
          <w:rFonts w:ascii="Times New Roman" w:hAnsi="Times New Roman"/>
          <w:sz w:val="26"/>
          <w:szCs w:val="26"/>
        </w:rPr>
        <w:t>акта</w:t>
      </w:r>
      <w:proofErr w:type="spellEnd"/>
      <w:r w:rsidRPr="00287006">
        <w:rPr>
          <w:rFonts w:ascii="Times New Roman" w:hAnsi="Times New Roman"/>
          <w:sz w:val="26"/>
          <w:szCs w:val="26"/>
        </w:rPr>
        <w:t xml:space="preserve"> не матиме впливу на окремі регіони.</w:t>
      </w:r>
    </w:p>
    <w:p w:rsidR="007B4BE2" w:rsidRPr="00287006" w:rsidRDefault="007B4BE2" w:rsidP="00287006">
      <w:pPr>
        <w:ind w:firstLine="708"/>
        <w:rPr>
          <w:rFonts w:ascii="Times New Roman" w:hAnsi="Times New Roman"/>
          <w:sz w:val="26"/>
          <w:szCs w:val="26"/>
        </w:rPr>
      </w:pPr>
      <w:r w:rsidRPr="00287006">
        <w:rPr>
          <w:rFonts w:ascii="Times New Roman" w:hAnsi="Times New Roman"/>
          <w:sz w:val="26"/>
          <w:szCs w:val="26"/>
        </w:rPr>
        <w:t xml:space="preserve">Реалізація </w:t>
      </w:r>
      <w:proofErr w:type="spellStart"/>
      <w:r w:rsidRPr="00287006">
        <w:rPr>
          <w:rFonts w:ascii="Times New Roman" w:hAnsi="Times New Roman"/>
          <w:sz w:val="26"/>
          <w:szCs w:val="26"/>
        </w:rPr>
        <w:t>акта</w:t>
      </w:r>
      <w:proofErr w:type="spellEnd"/>
      <w:r w:rsidRPr="00287006">
        <w:rPr>
          <w:rFonts w:ascii="Times New Roman" w:hAnsi="Times New Roman"/>
          <w:sz w:val="26"/>
          <w:szCs w:val="26"/>
        </w:rPr>
        <w:t xml:space="preserve">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rsidR="00287006" w:rsidRPr="00287006" w:rsidRDefault="00287006" w:rsidP="00287006">
      <w:pPr>
        <w:shd w:val="clear" w:color="auto" w:fill="FFFFFF"/>
        <w:rPr>
          <w:rFonts w:ascii="Times New Roman" w:eastAsia="Times New Roman" w:hAnsi="Times New Roman" w:cs="Times New Roman"/>
          <w:sz w:val="26"/>
          <w:szCs w:val="26"/>
          <w:lang w:eastAsia="ru-RU"/>
        </w:rPr>
      </w:pPr>
      <w:r w:rsidRPr="00287006">
        <w:rPr>
          <w:rFonts w:ascii="Times New Roman" w:eastAsia="Times New Roman" w:hAnsi="Times New Roman" w:cs="Times New Roman"/>
          <w:sz w:val="26"/>
          <w:szCs w:val="26"/>
          <w:lang w:eastAsia="ru-RU"/>
        </w:rPr>
        <w:t xml:space="preserve">Прийняття </w:t>
      </w:r>
      <w:proofErr w:type="spellStart"/>
      <w:r w:rsidRPr="00287006">
        <w:rPr>
          <w:rFonts w:ascii="Times New Roman" w:eastAsia="Times New Roman" w:hAnsi="Times New Roman" w:cs="Times New Roman"/>
          <w:sz w:val="26"/>
          <w:szCs w:val="26"/>
          <w:lang w:eastAsia="ru-RU"/>
        </w:rPr>
        <w:t>акта</w:t>
      </w:r>
      <w:proofErr w:type="spellEnd"/>
      <w:r w:rsidRPr="00287006">
        <w:rPr>
          <w:rFonts w:ascii="Times New Roman" w:eastAsia="Times New Roman" w:hAnsi="Times New Roman" w:cs="Times New Roman"/>
          <w:sz w:val="26"/>
          <w:szCs w:val="26"/>
          <w:lang w:eastAsia="ru-RU"/>
        </w:rPr>
        <w:t xml:space="preserve"> </w:t>
      </w:r>
      <w:proofErr w:type="spellStart"/>
      <w:r w:rsidRPr="00287006">
        <w:rPr>
          <w:rFonts w:ascii="Times New Roman" w:eastAsia="Times New Roman" w:hAnsi="Times New Roman" w:cs="Times New Roman"/>
          <w:sz w:val="26"/>
          <w:szCs w:val="26"/>
          <w:lang w:eastAsia="ru-RU"/>
        </w:rPr>
        <w:t>надасть</w:t>
      </w:r>
      <w:proofErr w:type="spellEnd"/>
      <w:r w:rsidRPr="00287006">
        <w:rPr>
          <w:rFonts w:ascii="Times New Roman" w:eastAsia="Times New Roman" w:hAnsi="Times New Roman" w:cs="Times New Roman"/>
          <w:sz w:val="26"/>
          <w:szCs w:val="26"/>
          <w:lang w:eastAsia="ru-RU"/>
        </w:rPr>
        <w:t xml:space="preserve"> змогу гармонізувати законодавство України  у сфері обігу хімічної продукції з діючими вимогами європейського законодавства та міжнародними нормами, що сприятиме усуненню юридичних, адміністративних та технічних бар’єрів у торгівлі, підвищенню рівня захисту здоров'я людини та навколишнього довкілля, підвищенню безпеки та конкурентоспроможності хімічної продукції вітчизняного виробництва через встановлення ідентичних вимог безпечності хімічної продукції, покращенню ефективності митного контролю та оформлення експортно-імпортних операцій.</w:t>
      </w:r>
    </w:p>
    <w:p w:rsidR="007B4BE2" w:rsidRPr="00287006" w:rsidRDefault="007B4BE2" w:rsidP="00287006">
      <w:pPr>
        <w:shd w:val="clear" w:color="auto" w:fill="FFFFFF"/>
        <w:rPr>
          <w:rFonts w:ascii="Times New Roman" w:eastAsia="Times New Roman" w:hAnsi="Times New Roman" w:cs="Times New Roman"/>
          <w:bCs/>
          <w:sz w:val="26"/>
          <w:szCs w:val="26"/>
          <w:lang w:eastAsia="ru-RU"/>
        </w:rPr>
      </w:pPr>
    </w:p>
    <w:p w:rsidR="007B4BE2" w:rsidRPr="00287006" w:rsidRDefault="007B4BE2" w:rsidP="00287006">
      <w:pPr>
        <w:pStyle w:val="HTML"/>
        <w:tabs>
          <w:tab w:val="left" w:pos="1069"/>
        </w:tabs>
        <w:ind w:firstLine="709"/>
        <w:rPr>
          <w:rFonts w:ascii="Times New Roman" w:hAnsi="Times New Roman" w:cs="Times New Roman"/>
          <w:b/>
          <w:sz w:val="26"/>
          <w:szCs w:val="26"/>
          <w:lang w:val="uk-UA"/>
        </w:rPr>
      </w:pPr>
      <w:r w:rsidRPr="00287006">
        <w:rPr>
          <w:rFonts w:ascii="Times New Roman" w:hAnsi="Times New Roman" w:cs="Times New Roman"/>
          <w:b/>
          <w:sz w:val="26"/>
          <w:szCs w:val="26"/>
          <w:lang w:val="uk-UA"/>
        </w:rPr>
        <w:t>7. Позиція заінтересованих органів</w:t>
      </w:r>
    </w:p>
    <w:p w:rsidR="00F36D03" w:rsidRPr="00287006" w:rsidRDefault="00F36D03" w:rsidP="00287006">
      <w:pPr>
        <w:shd w:val="clear" w:color="auto" w:fill="FFFFFF"/>
        <w:rPr>
          <w:rFonts w:ascii="Times New Roman" w:eastAsia="Times New Roman" w:hAnsi="Times New Roman" w:cs="Times New Roman"/>
          <w:sz w:val="26"/>
          <w:szCs w:val="26"/>
          <w:lang w:eastAsia="ru-RU"/>
        </w:rPr>
      </w:pPr>
      <w:r w:rsidRPr="00287006">
        <w:rPr>
          <w:rFonts w:ascii="Times New Roman" w:eastAsia="Times New Roman" w:hAnsi="Times New Roman" w:cs="Times New Roman"/>
          <w:sz w:val="26"/>
          <w:szCs w:val="26"/>
          <w:lang w:eastAsia="ru-RU"/>
        </w:rPr>
        <w:t>Проект постанови потребує погодження з Міністерством фінансів</w:t>
      </w:r>
      <w:r w:rsidR="00DD7693" w:rsidRPr="00287006">
        <w:rPr>
          <w:rFonts w:ascii="Times New Roman" w:eastAsia="Times New Roman" w:hAnsi="Times New Roman" w:cs="Times New Roman"/>
          <w:sz w:val="26"/>
          <w:szCs w:val="26"/>
          <w:lang w:eastAsia="ru-RU"/>
        </w:rPr>
        <w:t xml:space="preserve"> України</w:t>
      </w:r>
      <w:r w:rsidRPr="00287006">
        <w:rPr>
          <w:rFonts w:ascii="Times New Roman" w:eastAsia="Times New Roman" w:hAnsi="Times New Roman" w:cs="Times New Roman"/>
          <w:sz w:val="26"/>
          <w:szCs w:val="26"/>
          <w:lang w:eastAsia="ru-RU"/>
        </w:rPr>
        <w:t xml:space="preserve"> Міністерством охорони здоров’я</w:t>
      </w:r>
      <w:r w:rsidR="00DD7693" w:rsidRPr="00287006">
        <w:rPr>
          <w:rFonts w:ascii="Times New Roman" w:eastAsia="Times New Roman" w:hAnsi="Times New Roman" w:cs="Times New Roman"/>
          <w:sz w:val="26"/>
          <w:szCs w:val="26"/>
          <w:lang w:eastAsia="ru-RU"/>
        </w:rPr>
        <w:t xml:space="preserve"> України, Міністерство енергетики та захисту довкілля України</w:t>
      </w:r>
      <w:r w:rsidRPr="00287006">
        <w:rPr>
          <w:rFonts w:ascii="Times New Roman" w:eastAsia="Times New Roman" w:hAnsi="Times New Roman" w:cs="Times New Roman"/>
          <w:sz w:val="26"/>
          <w:szCs w:val="26"/>
          <w:lang w:eastAsia="ru-RU"/>
        </w:rPr>
        <w:t>, Державною службою України з питань праці,  Державною службою України з питань безпечності харчових продуктів та захисту споживачів, Державною службою з надзвичайних ситуацій, Службою безпеки України, Державною регуляторною службою та проведення правової експертизи Міністерством юстиції.</w:t>
      </w:r>
    </w:p>
    <w:p w:rsidR="007B4BE2" w:rsidRPr="00287006" w:rsidRDefault="007B4BE2" w:rsidP="00287006">
      <w:pPr>
        <w:pStyle w:val="HTML"/>
        <w:tabs>
          <w:tab w:val="clear" w:pos="916"/>
          <w:tab w:val="left" w:pos="1069"/>
        </w:tabs>
        <w:ind w:firstLine="709"/>
        <w:jc w:val="both"/>
        <w:rPr>
          <w:rFonts w:ascii="Times New Roman" w:hAnsi="Times New Roman" w:cs="Times New Roman"/>
          <w:sz w:val="26"/>
          <w:szCs w:val="26"/>
          <w:lang w:val="uk-UA"/>
        </w:rPr>
      </w:pPr>
    </w:p>
    <w:p w:rsidR="007B4BE2" w:rsidRPr="00287006" w:rsidRDefault="007B4BE2" w:rsidP="00287006">
      <w:pPr>
        <w:ind w:firstLine="708"/>
        <w:rPr>
          <w:rFonts w:ascii="Times New Roman" w:hAnsi="Times New Roman"/>
          <w:b/>
          <w:sz w:val="26"/>
          <w:szCs w:val="26"/>
        </w:rPr>
      </w:pPr>
      <w:r w:rsidRPr="00287006">
        <w:rPr>
          <w:rFonts w:ascii="Times New Roman" w:hAnsi="Times New Roman"/>
          <w:b/>
          <w:sz w:val="26"/>
          <w:szCs w:val="26"/>
        </w:rPr>
        <w:t>8. Ризики та обмеження</w:t>
      </w:r>
    </w:p>
    <w:p w:rsidR="007B4BE2" w:rsidRPr="00287006" w:rsidRDefault="007B4BE2" w:rsidP="00287006">
      <w:pPr>
        <w:ind w:firstLine="708"/>
        <w:rPr>
          <w:rFonts w:ascii="Times New Roman" w:hAnsi="Times New Roman"/>
          <w:b/>
          <w:sz w:val="26"/>
          <w:szCs w:val="26"/>
        </w:rPr>
      </w:pPr>
      <w:r w:rsidRPr="00287006">
        <w:rPr>
          <w:rFonts w:ascii="Times New Roman" w:hAnsi="Times New Roman"/>
          <w:sz w:val="26"/>
          <w:szCs w:val="26"/>
        </w:rPr>
        <w:t xml:space="preserve">Проект </w:t>
      </w:r>
      <w:proofErr w:type="spellStart"/>
      <w:r w:rsidRPr="00287006">
        <w:rPr>
          <w:rFonts w:ascii="Times New Roman" w:hAnsi="Times New Roman"/>
          <w:sz w:val="26"/>
          <w:szCs w:val="26"/>
        </w:rPr>
        <w:t>акта</w:t>
      </w:r>
      <w:proofErr w:type="spellEnd"/>
      <w:r w:rsidRPr="00287006">
        <w:rPr>
          <w:rFonts w:ascii="Times New Roman" w:hAnsi="Times New Roman"/>
          <w:sz w:val="26"/>
          <w:szCs w:val="26"/>
        </w:rPr>
        <w:t xml:space="preserve"> не містить норм, що порушують права та свободи, гарантовані Конвенцією про захист прав людини і основоположних свобод. </w:t>
      </w:r>
    </w:p>
    <w:p w:rsidR="007B4BE2" w:rsidRPr="00287006" w:rsidRDefault="007B4BE2" w:rsidP="00287006">
      <w:pPr>
        <w:ind w:firstLine="708"/>
        <w:rPr>
          <w:rFonts w:ascii="Times New Roman" w:hAnsi="Times New Roman"/>
          <w:sz w:val="26"/>
          <w:szCs w:val="26"/>
        </w:rPr>
      </w:pPr>
      <w:r w:rsidRPr="00287006">
        <w:rPr>
          <w:rFonts w:ascii="Times New Roman" w:hAnsi="Times New Roman"/>
          <w:sz w:val="26"/>
          <w:szCs w:val="26"/>
        </w:rPr>
        <w:t xml:space="preserve">У проекті </w:t>
      </w:r>
      <w:proofErr w:type="spellStart"/>
      <w:r w:rsidRPr="00287006">
        <w:rPr>
          <w:rFonts w:ascii="Times New Roman" w:hAnsi="Times New Roman"/>
          <w:sz w:val="26"/>
          <w:szCs w:val="26"/>
        </w:rPr>
        <w:t>акта</w:t>
      </w:r>
      <w:proofErr w:type="spellEnd"/>
      <w:r w:rsidRPr="00287006">
        <w:rPr>
          <w:rFonts w:ascii="Times New Roman" w:hAnsi="Times New Roman"/>
          <w:sz w:val="26"/>
          <w:szCs w:val="26"/>
        </w:rPr>
        <w:t xml:space="preserve"> відсутні положення, які порушують принцип забезпечення рівних прав та можливостей жінок і чоловіків.</w:t>
      </w:r>
    </w:p>
    <w:p w:rsidR="007B4BE2" w:rsidRPr="00287006" w:rsidRDefault="007B4BE2" w:rsidP="00287006">
      <w:pPr>
        <w:ind w:firstLine="708"/>
        <w:rPr>
          <w:rFonts w:ascii="Times New Roman" w:hAnsi="Times New Roman"/>
          <w:sz w:val="26"/>
          <w:szCs w:val="26"/>
        </w:rPr>
      </w:pPr>
      <w:r w:rsidRPr="00287006">
        <w:rPr>
          <w:rFonts w:ascii="Times New Roman" w:hAnsi="Times New Roman"/>
          <w:sz w:val="26"/>
          <w:szCs w:val="26"/>
        </w:rPr>
        <w:t xml:space="preserve">Проект </w:t>
      </w:r>
      <w:proofErr w:type="spellStart"/>
      <w:r w:rsidRPr="00287006">
        <w:rPr>
          <w:rFonts w:ascii="Times New Roman" w:hAnsi="Times New Roman"/>
          <w:sz w:val="26"/>
          <w:szCs w:val="26"/>
        </w:rPr>
        <w:t>акта</w:t>
      </w:r>
      <w:proofErr w:type="spellEnd"/>
      <w:r w:rsidRPr="00287006">
        <w:rPr>
          <w:rFonts w:ascii="Times New Roman" w:hAnsi="Times New Roman"/>
          <w:sz w:val="26"/>
          <w:szCs w:val="26"/>
        </w:rPr>
        <w:t xml:space="preserve"> не містить положень, які створюють підстави для дискримінації.</w:t>
      </w:r>
    </w:p>
    <w:p w:rsidR="007B4BE2" w:rsidRPr="00287006" w:rsidRDefault="007B4BE2" w:rsidP="00287006">
      <w:pPr>
        <w:ind w:firstLine="708"/>
        <w:rPr>
          <w:rFonts w:ascii="Times New Roman" w:hAnsi="Times New Roman"/>
          <w:sz w:val="26"/>
          <w:szCs w:val="26"/>
        </w:rPr>
      </w:pPr>
      <w:r w:rsidRPr="00287006">
        <w:rPr>
          <w:rFonts w:ascii="Times New Roman" w:hAnsi="Times New Roman"/>
          <w:sz w:val="26"/>
          <w:szCs w:val="26"/>
        </w:rPr>
        <w:lastRenderedPageBreak/>
        <w:t xml:space="preserve">У проекті </w:t>
      </w:r>
      <w:proofErr w:type="spellStart"/>
      <w:r w:rsidRPr="00287006">
        <w:rPr>
          <w:rFonts w:ascii="Times New Roman" w:hAnsi="Times New Roman"/>
          <w:sz w:val="26"/>
          <w:szCs w:val="26"/>
        </w:rPr>
        <w:t>акта</w:t>
      </w:r>
      <w:proofErr w:type="spellEnd"/>
      <w:r w:rsidRPr="00287006">
        <w:rPr>
          <w:rFonts w:ascii="Times New Roman" w:hAnsi="Times New Roman"/>
          <w:sz w:val="26"/>
          <w:szCs w:val="26"/>
        </w:rPr>
        <w:t xml:space="preserve"> відсутні положення, які містять ризики вчинення корупційних правопорушень та правопорушень, пов’язаних з корупцією.</w:t>
      </w:r>
    </w:p>
    <w:p w:rsidR="007B4BE2" w:rsidRPr="00287006" w:rsidRDefault="007B4BE2" w:rsidP="00287006">
      <w:pPr>
        <w:pStyle w:val="HTML"/>
        <w:tabs>
          <w:tab w:val="clear" w:pos="916"/>
          <w:tab w:val="left" w:pos="1069"/>
        </w:tabs>
        <w:ind w:firstLine="709"/>
        <w:jc w:val="both"/>
        <w:rPr>
          <w:rFonts w:ascii="Times New Roman" w:hAnsi="Times New Roman" w:cs="Times New Roman"/>
          <w:sz w:val="26"/>
          <w:szCs w:val="26"/>
          <w:lang w:val="uk-UA"/>
        </w:rPr>
      </w:pPr>
    </w:p>
    <w:p w:rsidR="00BB4C2B" w:rsidRPr="00287006" w:rsidRDefault="00BB4C2B" w:rsidP="00287006">
      <w:pPr>
        <w:pStyle w:val="HTML"/>
        <w:tabs>
          <w:tab w:val="clear" w:pos="916"/>
          <w:tab w:val="left" w:pos="1069"/>
        </w:tabs>
        <w:ind w:firstLine="709"/>
        <w:jc w:val="both"/>
        <w:rPr>
          <w:rFonts w:ascii="Times New Roman" w:hAnsi="Times New Roman" w:cs="Times New Roman"/>
          <w:b/>
          <w:sz w:val="26"/>
          <w:szCs w:val="26"/>
          <w:lang w:val="uk-UA"/>
        </w:rPr>
      </w:pPr>
      <w:r w:rsidRPr="00287006">
        <w:rPr>
          <w:rFonts w:ascii="Times New Roman" w:hAnsi="Times New Roman" w:cs="Times New Roman"/>
          <w:b/>
          <w:sz w:val="26"/>
          <w:szCs w:val="26"/>
          <w:lang w:val="uk-UA"/>
        </w:rPr>
        <w:t xml:space="preserve">9. Підстава розроблення проекту </w:t>
      </w:r>
      <w:proofErr w:type="spellStart"/>
      <w:r w:rsidRPr="00287006">
        <w:rPr>
          <w:rFonts w:ascii="Times New Roman" w:hAnsi="Times New Roman" w:cs="Times New Roman"/>
          <w:b/>
          <w:sz w:val="26"/>
          <w:szCs w:val="26"/>
          <w:lang w:val="uk-UA"/>
        </w:rPr>
        <w:t>акта</w:t>
      </w:r>
      <w:proofErr w:type="spellEnd"/>
      <w:r w:rsidRPr="00287006">
        <w:rPr>
          <w:rFonts w:ascii="Times New Roman" w:hAnsi="Times New Roman" w:cs="Times New Roman"/>
          <w:b/>
          <w:sz w:val="26"/>
          <w:szCs w:val="26"/>
          <w:lang w:val="uk-UA"/>
        </w:rPr>
        <w:t xml:space="preserve"> </w:t>
      </w:r>
    </w:p>
    <w:p w:rsidR="00BB4C2B" w:rsidRPr="006A72F3" w:rsidRDefault="00BB4C2B" w:rsidP="00287006">
      <w:pPr>
        <w:pStyle w:val="HTML"/>
        <w:tabs>
          <w:tab w:val="clear" w:pos="916"/>
          <w:tab w:val="left" w:pos="1069"/>
        </w:tabs>
        <w:ind w:firstLine="709"/>
        <w:jc w:val="both"/>
        <w:rPr>
          <w:rFonts w:ascii="Times New Roman" w:hAnsi="Times New Roman" w:cs="Times New Roman"/>
          <w:sz w:val="26"/>
          <w:szCs w:val="26"/>
          <w:lang w:val="uk-UA"/>
        </w:rPr>
      </w:pPr>
      <w:r w:rsidRPr="00287006">
        <w:rPr>
          <w:rFonts w:ascii="Times New Roman" w:hAnsi="Times New Roman" w:cs="Times New Roman"/>
          <w:sz w:val="26"/>
          <w:szCs w:val="26"/>
          <w:lang w:val="uk-UA"/>
        </w:rPr>
        <w:t>Проект постанови Міністерства розвитку економіки, торгівлі та сільського господарства України «Про затвердження Технічного регламенту щодо безпечності та захищеності хімічної продукції» розроблений відповідно до пункту 2 Плану розроблення технічних регламентів на 2020 рік, затвердженого наказом Мінекономіки від 25.02.2020 № 326 (в редакції наказу Мінекономіки від 01.04.2020 № 563-20).</w:t>
      </w:r>
    </w:p>
    <w:p w:rsidR="006A72F3" w:rsidRDefault="006A72F3" w:rsidP="006A72F3">
      <w:pPr>
        <w:pStyle w:val="HTML"/>
        <w:tabs>
          <w:tab w:val="left" w:pos="1069"/>
        </w:tabs>
        <w:rPr>
          <w:rFonts w:ascii="Times New Roman" w:hAnsi="Times New Roman" w:cs="Times New Roman"/>
          <w:b/>
          <w:sz w:val="26"/>
          <w:szCs w:val="26"/>
          <w:lang w:val="uk-UA"/>
        </w:rPr>
      </w:pPr>
    </w:p>
    <w:p w:rsidR="00DC68E3" w:rsidRPr="006A72F3" w:rsidRDefault="00DC68E3" w:rsidP="006A72F3">
      <w:pPr>
        <w:pStyle w:val="HTML"/>
        <w:tabs>
          <w:tab w:val="left" w:pos="1069"/>
        </w:tabs>
        <w:rPr>
          <w:rFonts w:ascii="Times New Roman" w:hAnsi="Times New Roman" w:cs="Times New Roman"/>
          <w:b/>
          <w:sz w:val="26"/>
          <w:szCs w:val="26"/>
          <w:lang w:val="uk-UA"/>
        </w:rPr>
      </w:pPr>
      <w:bookmarkStart w:id="0" w:name="_GoBack"/>
      <w:bookmarkEnd w:id="0"/>
    </w:p>
    <w:p w:rsidR="006A72F3" w:rsidRPr="006A72F3" w:rsidRDefault="006A72F3" w:rsidP="006A72F3">
      <w:pPr>
        <w:pStyle w:val="HTML"/>
        <w:tabs>
          <w:tab w:val="left" w:pos="1069"/>
        </w:tabs>
        <w:rPr>
          <w:rFonts w:ascii="Times New Roman" w:hAnsi="Times New Roman" w:cs="Times New Roman"/>
          <w:b/>
          <w:sz w:val="26"/>
          <w:szCs w:val="26"/>
          <w:lang w:val="uk-UA"/>
        </w:rPr>
      </w:pPr>
      <w:r w:rsidRPr="006A72F3">
        <w:rPr>
          <w:rFonts w:ascii="Times New Roman" w:hAnsi="Times New Roman" w:cs="Times New Roman"/>
          <w:b/>
          <w:sz w:val="26"/>
          <w:szCs w:val="26"/>
          <w:lang w:val="uk-UA"/>
        </w:rPr>
        <w:t>Міністр розвитку економіки, торгівлі</w:t>
      </w:r>
    </w:p>
    <w:p w:rsidR="006A72F3" w:rsidRPr="006A72F3" w:rsidRDefault="006A72F3" w:rsidP="006A72F3">
      <w:pPr>
        <w:pStyle w:val="HTML"/>
        <w:tabs>
          <w:tab w:val="left" w:pos="1069"/>
        </w:tabs>
        <w:rPr>
          <w:rFonts w:ascii="Times New Roman" w:hAnsi="Times New Roman" w:cs="Times New Roman"/>
          <w:b/>
          <w:sz w:val="26"/>
          <w:szCs w:val="26"/>
          <w:lang w:val="uk-UA"/>
        </w:rPr>
      </w:pPr>
      <w:r w:rsidRPr="006A72F3">
        <w:rPr>
          <w:rFonts w:ascii="Times New Roman" w:hAnsi="Times New Roman" w:cs="Times New Roman"/>
          <w:b/>
          <w:sz w:val="26"/>
          <w:szCs w:val="26"/>
          <w:lang w:val="uk-UA"/>
        </w:rPr>
        <w:t xml:space="preserve">та сільського господарства України                                         </w:t>
      </w:r>
      <w:r w:rsidRPr="006A72F3">
        <w:rPr>
          <w:rFonts w:ascii="Times New Roman" w:hAnsi="Times New Roman" w:cs="Times New Roman"/>
          <w:b/>
          <w:sz w:val="26"/>
          <w:szCs w:val="26"/>
        </w:rPr>
        <w:t xml:space="preserve">        </w:t>
      </w:r>
      <w:r w:rsidRPr="006A72F3">
        <w:rPr>
          <w:rFonts w:ascii="Times New Roman" w:hAnsi="Times New Roman" w:cs="Times New Roman"/>
          <w:b/>
          <w:sz w:val="26"/>
          <w:szCs w:val="26"/>
          <w:lang w:val="uk-UA"/>
        </w:rPr>
        <w:t>Ігор ПЕТРАШКО</w:t>
      </w:r>
    </w:p>
    <w:p w:rsidR="006A72F3" w:rsidRPr="006A72F3" w:rsidRDefault="006A72F3" w:rsidP="006A72F3">
      <w:pPr>
        <w:pStyle w:val="HTML"/>
        <w:tabs>
          <w:tab w:val="left" w:pos="1069"/>
        </w:tabs>
        <w:rPr>
          <w:rFonts w:ascii="Times New Roman" w:hAnsi="Times New Roman" w:cs="Times New Roman"/>
          <w:b/>
          <w:sz w:val="26"/>
          <w:szCs w:val="26"/>
          <w:lang w:val="uk-UA"/>
        </w:rPr>
      </w:pPr>
    </w:p>
    <w:p w:rsidR="006A72F3" w:rsidRDefault="006A72F3" w:rsidP="006A72F3">
      <w:pPr>
        <w:pStyle w:val="HTML"/>
        <w:tabs>
          <w:tab w:val="clear" w:pos="916"/>
          <w:tab w:val="left" w:pos="1069"/>
        </w:tabs>
        <w:ind w:firstLine="709"/>
        <w:jc w:val="both"/>
        <w:rPr>
          <w:rFonts w:ascii="Times New Roman" w:hAnsi="Times New Roman" w:cs="Times New Roman"/>
          <w:b/>
          <w:sz w:val="26"/>
          <w:szCs w:val="26"/>
          <w:lang w:val="uk-UA"/>
        </w:rPr>
        <w:sectPr w:rsidR="006A72F3" w:rsidSect="00DC68E3">
          <w:pgSz w:w="11906" w:h="16838"/>
          <w:pgMar w:top="850" w:right="850" w:bottom="1843" w:left="1417" w:header="708" w:footer="708" w:gutter="0"/>
          <w:cols w:space="708"/>
          <w:docGrid w:linePitch="360"/>
        </w:sectPr>
      </w:pPr>
      <w:r w:rsidRPr="006A72F3">
        <w:rPr>
          <w:rFonts w:ascii="Times New Roman" w:hAnsi="Times New Roman" w:cs="Times New Roman"/>
          <w:b/>
          <w:sz w:val="26"/>
          <w:szCs w:val="26"/>
          <w:lang w:val="uk-UA"/>
        </w:rPr>
        <w:t>_______________ 2020 р.</w:t>
      </w:r>
    </w:p>
    <w:p w:rsidR="006A72F3" w:rsidRDefault="006A72F3" w:rsidP="006A72F3">
      <w:pPr>
        <w:shd w:val="clear" w:color="auto" w:fill="FFFFFF"/>
        <w:ind w:right="257"/>
        <w:jc w:val="center"/>
        <w:rPr>
          <w:rStyle w:val="rvts15"/>
        </w:rPr>
      </w:pPr>
      <w:r>
        <w:rPr>
          <w:rStyle w:val="rvts15"/>
          <w:b/>
          <w:sz w:val="26"/>
          <w:szCs w:val="26"/>
        </w:rPr>
        <w:lastRenderedPageBreak/>
        <w:t>ПРОГНОЗ ВПЛИВУ</w:t>
      </w:r>
      <w:r>
        <w:rPr>
          <w:rStyle w:val="rvts15"/>
          <w:rFonts w:cs="Calibri"/>
          <w:sz w:val="26"/>
          <w:szCs w:val="26"/>
        </w:rPr>
        <w:t xml:space="preserve"> </w:t>
      </w:r>
      <w:r>
        <w:rPr>
          <w:sz w:val="26"/>
          <w:szCs w:val="26"/>
        </w:rPr>
        <w:br/>
      </w:r>
      <w:r>
        <w:rPr>
          <w:rStyle w:val="rvts15"/>
          <w:b/>
          <w:sz w:val="26"/>
          <w:szCs w:val="26"/>
        </w:rPr>
        <w:t xml:space="preserve">реалізації </w:t>
      </w:r>
      <w:r w:rsidRPr="006A3DAF">
        <w:rPr>
          <w:rFonts w:ascii="Times New Roman" w:eastAsia="Times New Roman" w:hAnsi="Times New Roman" w:cs="Times New Roman"/>
          <w:b/>
          <w:bCs/>
          <w:sz w:val="26"/>
          <w:szCs w:val="26"/>
          <w:lang w:eastAsia="ru-RU"/>
        </w:rPr>
        <w:t>проекту постанови Кабінету Міністрів України</w:t>
      </w:r>
      <w:r w:rsidRPr="006A3DAF">
        <w:rPr>
          <w:rFonts w:ascii="Times New Roman" w:eastAsia="Times New Roman" w:hAnsi="Times New Roman" w:cs="Times New Roman"/>
          <w:b/>
          <w:bCs/>
          <w:sz w:val="26"/>
          <w:szCs w:val="26"/>
          <w:lang w:eastAsia="ru-RU"/>
        </w:rPr>
        <w:br/>
        <w:t>«Про затвердження Технічного регламенту щодо безпечності та захищеності хімічної продукції»</w:t>
      </w:r>
      <w:r>
        <w:rPr>
          <w:b/>
          <w:sz w:val="26"/>
          <w:szCs w:val="26"/>
        </w:rPr>
        <w:t xml:space="preserve"> </w:t>
      </w:r>
      <w:r>
        <w:rPr>
          <w:rStyle w:val="rvts15"/>
          <w:b/>
          <w:sz w:val="26"/>
          <w:szCs w:val="26"/>
        </w:rPr>
        <w:t>на ключові інтереси заінтересованих сторін</w:t>
      </w:r>
    </w:p>
    <w:p w:rsidR="006A72F3" w:rsidRDefault="006A72F3" w:rsidP="006A72F3">
      <w:pPr>
        <w:pStyle w:val="40"/>
        <w:shd w:val="clear" w:color="auto" w:fill="auto"/>
        <w:spacing w:before="0" w:after="0" w:line="240" w:lineRule="auto"/>
        <w:jc w:val="center"/>
        <w:rPr>
          <w:sz w:val="28"/>
          <w:szCs w:val="28"/>
        </w:rPr>
      </w:pPr>
    </w:p>
    <w:p w:rsidR="006A72F3" w:rsidRPr="006A3DAF" w:rsidRDefault="006A72F3" w:rsidP="006A72F3">
      <w:pPr>
        <w:shd w:val="clear" w:color="auto" w:fill="FFFFFF"/>
        <w:spacing w:before="60" w:after="60"/>
        <w:rPr>
          <w:rFonts w:ascii="Times New Roman" w:eastAsia="Times New Roman" w:hAnsi="Times New Roman" w:cs="Times New Roman"/>
          <w:sz w:val="26"/>
          <w:szCs w:val="26"/>
          <w:lang w:eastAsia="ru-RU"/>
        </w:rPr>
      </w:pPr>
      <w:r w:rsidRPr="006A3DAF">
        <w:rPr>
          <w:rFonts w:ascii="Times New Roman" w:eastAsia="Times New Roman" w:hAnsi="Times New Roman" w:cs="Times New Roman"/>
          <w:sz w:val="26"/>
          <w:szCs w:val="26"/>
          <w:lang w:eastAsia="ru-RU"/>
        </w:rPr>
        <w:t xml:space="preserve">Проект постанови Кабінету Міністрів України «Про затвердження Технічного регламенту щодо безпечності та захищеності хімічної продукції» (далі – проект постанови) </w:t>
      </w:r>
      <w:r>
        <w:rPr>
          <w:rFonts w:ascii="Times New Roman" w:eastAsia="Times New Roman" w:hAnsi="Times New Roman" w:cs="Times New Roman"/>
          <w:sz w:val="26"/>
          <w:szCs w:val="26"/>
          <w:lang w:eastAsia="ru-RU"/>
        </w:rPr>
        <w:t xml:space="preserve">розроблений </w:t>
      </w:r>
      <w:r w:rsidRPr="006A3DAF">
        <w:rPr>
          <w:rFonts w:ascii="Times New Roman" w:eastAsia="Times New Roman" w:hAnsi="Times New Roman" w:cs="Times New Roman"/>
          <w:sz w:val="26"/>
          <w:szCs w:val="26"/>
          <w:lang w:eastAsia="ru-RU"/>
        </w:rPr>
        <w:t>з метою гармонізації системи технічного регулювання обігу хімічної продукції в Україні з Регламентом ЄС № 1907/2006 Європейського парламенту та Ради від 18.12. 2006 року щодо реєстрації, оцінки, авторизації і обмеження хімічних речовин (REACH).</w:t>
      </w:r>
    </w:p>
    <w:p w:rsidR="006A72F3" w:rsidRDefault="006A72F3" w:rsidP="006A72F3">
      <w:pPr>
        <w:shd w:val="clear" w:color="auto" w:fill="FFFFFF"/>
        <w:spacing w:before="60" w:after="60"/>
        <w:rPr>
          <w:rFonts w:ascii="Times New Roman" w:eastAsia="Times New Roman" w:hAnsi="Times New Roman" w:cs="Times New Roman"/>
          <w:sz w:val="26"/>
          <w:szCs w:val="26"/>
          <w:lang w:eastAsia="ru-RU"/>
        </w:rPr>
      </w:pPr>
      <w:r w:rsidRPr="006A3DAF">
        <w:rPr>
          <w:rFonts w:ascii="Times New Roman" w:eastAsia="Times New Roman" w:hAnsi="Times New Roman" w:cs="Times New Roman"/>
          <w:sz w:val="26"/>
          <w:szCs w:val="26"/>
          <w:lang w:eastAsia="ru-RU"/>
        </w:rPr>
        <w:t>Прийняття постанови Кабінету Міністрів України «Про затвердження Технічного регламенту щодо</w:t>
      </w:r>
      <w:r w:rsidRPr="006A3DAF">
        <w:rPr>
          <w:rFonts w:ascii="Times New Roman" w:hAnsi="Times New Roman" w:cs="Times New Roman"/>
          <w:sz w:val="26"/>
          <w:szCs w:val="26"/>
        </w:rPr>
        <w:t xml:space="preserve"> </w:t>
      </w:r>
      <w:r w:rsidRPr="006A3DAF">
        <w:rPr>
          <w:rFonts w:ascii="Times New Roman" w:eastAsia="Times New Roman" w:hAnsi="Times New Roman" w:cs="Times New Roman"/>
          <w:sz w:val="26"/>
          <w:szCs w:val="26"/>
          <w:lang w:eastAsia="ru-RU"/>
        </w:rPr>
        <w:t xml:space="preserve">безпечності та захищеності хімічної продукції» </w:t>
      </w:r>
      <w:proofErr w:type="spellStart"/>
      <w:r w:rsidRPr="006A3DAF">
        <w:rPr>
          <w:rFonts w:ascii="Times New Roman" w:eastAsia="Times New Roman" w:hAnsi="Times New Roman" w:cs="Times New Roman"/>
          <w:sz w:val="26"/>
          <w:szCs w:val="26"/>
          <w:lang w:eastAsia="ru-RU"/>
        </w:rPr>
        <w:t>надасть</w:t>
      </w:r>
      <w:proofErr w:type="spellEnd"/>
      <w:r w:rsidRPr="006A3DAF">
        <w:rPr>
          <w:rFonts w:ascii="Times New Roman" w:eastAsia="Times New Roman" w:hAnsi="Times New Roman" w:cs="Times New Roman"/>
          <w:sz w:val="26"/>
          <w:szCs w:val="26"/>
          <w:lang w:eastAsia="ru-RU"/>
        </w:rPr>
        <w:t xml:space="preserve"> змогу гармонізувати законодавство України  у сфері обігу хімічної продукції з діючими вимогами європейського законодавства та міжнародними нормами, що сприятиме усуненню юридичних, адміністративних та технічних бар’єрів у торгівлі, підвищенню рівня захисту здоров'я людини та навколишнього довкілля, підвищенню безпеки та конкурентоспроможності хімічної продукції вітчизняного виробництва через встановлення ідентичних вимог безпечності хімічної продукції, покращенню ефективності митного контролю та оформлення експортно-імпортних операцій.</w:t>
      </w:r>
    </w:p>
    <w:p w:rsidR="006A72F3" w:rsidRDefault="006A72F3" w:rsidP="006A72F3">
      <w:pPr>
        <w:shd w:val="clear" w:color="auto" w:fill="FFFFFF"/>
        <w:ind w:left="24" w:right="257" w:firstLine="691"/>
        <w:rPr>
          <w:sz w:val="26"/>
          <w:szCs w:val="26"/>
        </w:rPr>
      </w:pPr>
    </w:p>
    <w:tbl>
      <w:tblPr>
        <w:tblW w:w="4972" w:type="pct"/>
        <w:tblInd w:w="60"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951"/>
        <w:gridCol w:w="2726"/>
        <w:gridCol w:w="1702"/>
        <w:gridCol w:w="991"/>
        <w:gridCol w:w="2617"/>
      </w:tblGrid>
      <w:tr w:rsidR="006A72F3" w:rsidRPr="006A72F3" w:rsidTr="006A72F3">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6A72F3" w:rsidRPr="006A72F3" w:rsidRDefault="006A72F3" w:rsidP="006A72F3">
            <w:pPr>
              <w:pStyle w:val="a7"/>
              <w:ind w:firstLine="0"/>
              <w:jc w:val="center"/>
              <w:rPr>
                <w:rFonts w:ascii="Times New Roman" w:hAnsi="Times New Roman" w:cs="Times New Roman"/>
                <w:b/>
                <w:sz w:val="26"/>
                <w:szCs w:val="26"/>
              </w:rPr>
            </w:pPr>
            <w:r w:rsidRPr="006A72F3">
              <w:rPr>
                <w:rFonts w:ascii="Times New Roman" w:hAnsi="Times New Roman" w:cs="Times New Roman"/>
                <w:b/>
                <w:sz w:val="26"/>
                <w:szCs w:val="26"/>
              </w:rPr>
              <w:t>Заінтересована сторона</w:t>
            </w:r>
          </w:p>
        </w:tc>
        <w:tc>
          <w:tcPr>
            <w:tcW w:w="1365" w:type="pct"/>
            <w:vMerge w:val="restart"/>
            <w:tcBorders>
              <w:top w:val="outset" w:sz="6" w:space="0" w:color="000000"/>
              <w:left w:val="single" w:sz="4" w:space="0" w:color="auto"/>
              <w:bottom w:val="outset" w:sz="6" w:space="0" w:color="000000"/>
              <w:right w:val="outset" w:sz="6" w:space="0" w:color="000000"/>
            </w:tcBorders>
            <w:vAlign w:val="center"/>
            <w:hideMark/>
          </w:tcPr>
          <w:p w:rsidR="006A72F3" w:rsidRPr="006A72F3" w:rsidRDefault="006A72F3" w:rsidP="006A72F3">
            <w:pPr>
              <w:pStyle w:val="a7"/>
              <w:ind w:firstLine="0"/>
              <w:jc w:val="center"/>
              <w:rPr>
                <w:rFonts w:ascii="Times New Roman" w:hAnsi="Times New Roman" w:cs="Times New Roman"/>
                <w:b/>
                <w:sz w:val="26"/>
                <w:szCs w:val="26"/>
              </w:rPr>
            </w:pPr>
            <w:r w:rsidRPr="006A72F3">
              <w:rPr>
                <w:rFonts w:ascii="Times New Roman" w:hAnsi="Times New Roman" w:cs="Times New Roman"/>
                <w:b/>
                <w:sz w:val="26"/>
                <w:szCs w:val="26"/>
              </w:rPr>
              <w:t>Ключовий інтерес</w:t>
            </w:r>
          </w:p>
        </w:tc>
        <w:tc>
          <w:tcPr>
            <w:tcW w:w="1348" w:type="pct"/>
            <w:gridSpan w:val="2"/>
            <w:tcBorders>
              <w:top w:val="outset" w:sz="6" w:space="0" w:color="000000"/>
              <w:left w:val="outset" w:sz="6" w:space="0" w:color="000000"/>
              <w:bottom w:val="outset" w:sz="6" w:space="0" w:color="000000"/>
              <w:right w:val="outset" w:sz="6" w:space="0" w:color="000000"/>
            </w:tcBorders>
            <w:hideMark/>
          </w:tcPr>
          <w:p w:rsidR="006A72F3" w:rsidRPr="006A72F3" w:rsidRDefault="006A72F3" w:rsidP="006A72F3">
            <w:pPr>
              <w:pStyle w:val="a7"/>
              <w:ind w:firstLine="0"/>
              <w:jc w:val="center"/>
              <w:rPr>
                <w:rFonts w:ascii="Times New Roman" w:hAnsi="Times New Roman" w:cs="Times New Roman"/>
                <w:b/>
                <w:sz w:val="26"/>
                <w:szCs w:val="26"/>
              </w:rPr>
            </w:pPr>
            <w:r w:rsidRPr="006A72F3">
              <w:rPr>
                <w:rFonts w:ascii="Times New Roman" w:hAnsi="Times New Roman" w:cs="Times New Roman"/>
                <w:b/>
                <w:sz w:val="26"/>
                <w:szCs w:val="26"/>
              </w:rPr>
              <w:t>Очікуваний  вплив на ключовий інтерес, позитивний (+) або негативний (-)</w:t>
            </w:r>
          </w:p>
        </w:tc>
        <w:tc>
          <w:tcPr>
            <w:tcW w:w="1310" w:type="pct"/>
            <w:vMerge w:val="restart"/>
            <w:tcBorders>
              <w:top w:val="outset" w:sz="6" w:space="0" w:color="000000"/>
              <w:left w:val="outset" w:sz="6" w:space="0" w:color="000000"/>
              <w:bottom w:val="outset" w:sz="6" w:space="0" w:color="000000"/>
              <w:right w:val="single" w:sz="4" w:space="0" w:color="auto"/>
            </w:tcBorders>
            <w:vAlign w:val="center"/>
            <w:hideMark/>
          </w:tcPr>
          <w:p w:rsidR="006A72F3" w:rsidRPr="006A72F3" w:rsidRDefault="006A72F3" w:rsidP="006A72F3">
            <w:pPr>
              <w:pStyle w:val="a7"/>
              <w:ind w:firstLine="0"/>
              <w:jc w:val="center"/>
              <w:rPr>
                <w:rFonts w:ascii="Times New Roman" w:hAnsi="Times New Roman" w:cs="Times New Roman"/>
                <w:b/>
                <w:sz w:val="26"/>
                <w:szCs w:val="26"/>
              </w:rPr>
            </w:pPr>
            <w:r w:rsidRPr="006A72F3">
              <w:rPr>
                <w:rFonts w:ascii="Times New Roman" w:hAnsi="Times New Roman" w:cs="Times New Roman"/>
                <w:b/>
                <w:sz w:val="26"/>
                <w:szCs w:val="26"/>
              </w:rPr>
              <w:t>Пояснення</w:t>
            </w:r>
          </w:p>
        </w:tc>
      </w:tr>
      <w:tr w:rsidR="006A72F3" w:rsidRPr="006A72F3" w:rsidTr="006A72F3">
        <w:trPr>
          <w:trHeight w:val="447"/>
        </w:trPr>
        <w:tc>
          <w:tcPr>
            <w:tcW w:w="977" w:type="pct"/>
            <w:vMerge/>
            <w:tcBorders>
              <w:top w:val="single" w:sz="4" w:space="0" w:color="auto"/>
              <w:left w:val="single" w:sz="4" w:space="0" w:color="auto"/>
              <w:bottom w:val="single" w:sz="4" w:space="0" w:color="auto"/>
              <w:right w:val="single" w:sz="4" w:space="0" w:color="auto"/>
            </w:tcBorders>
            <w:vAlign w:val="center"/>
            <w:hideMark/>
          </w:tcPr>
          <w:p w:rsidR="006A72F3" w:rsidRPr="006A72F3" w:rsidRDefault="006A72F3" w:rsidP="006A72F3">
            <w:pPr>
              <w:pStyle w:val="a7"/>
              <w:rPr>
                <w:rFonts w:ascii="Times New Roman" w:hAnsi="Times New Roman" w:cs="Times New Roman"/>
                <w:b/>
                <w:sz w:val="26"/>
                <w:szCs w:val="26"/>
                <w:lang w:eastAsia="ru-RU"/>
              </w:rPr>
            </w:pPr>
          </w:p>
        </w:tc>
        <w:tc>
          <w:tcPr>
            <w:tcW w:w="1365" w:type="pct"/>
            <w:vMerge/>
            <w:tcBorders>
              <w:top w:val="outset" w:sz="6" w:space="0" w:color="000000"/>
              <w:left w:val="single" w:sz="4" w:space="0" w:color="auto"/>
              <w:bottom w:val="outset" w:sz="6" w:space="0" w:color="000000"/>
              <w:right w:val="outset" w:sz="6" w:space="0" w:color="000000"/>
            </w:tcBorders>
            <w:vAlign w:val="center"/>
            <w:hideMark/>
          </w:tcPr>
          <w:p w:rsidR="006A72F3" w:rsidRPr="006A72F3" w:rsidRDefault="006A72F3" w:rsidP="006A72F3">
            <w:pPr>
              <w:pStyle w:val="a7"/>
              <w:rPr>
                <w:rFonts w:ascii="Times New Roman" w:hAnsi="Times New Roman" w:cs="Times New Roman"/>
                <w:b/>
                <w:sz w:val="26"/>
                <w:szCs w:val="26"/>
                <w:lang w:eastAsia="ru-RU"/>
              </w:rPr>
            </w:pPr>
          </w:p>
        </w:tc>
        <w:tc>
          <w:tcPr>
            <w:tcW w:w="852" w:type="pct"/>
            <w:tcBorders>
              <w:top w:val="outset" w:sz="6" w:space="0" w:color="000000"/>
              <w:left w:val="outset" w:sz="6" w:space="0" w:color="000000"/>
              <w:bottom w:val="outset" w:sz="6" w:space="0" w:color="000000"/>
              <w:right w:val="outset" w:sz="6" w:space="0" w:color="000000"/>
            </w:tcBorders>
            <w:hideMark/>
          </w:tcPr>
          <w:p w:rsidR="006A72F3" w:rsidRPr="006A72F3" w:rsidRDefault="006A72F3" w:rsidP="006A72F3">
            <w:pPr>
              <w:pStyle w:val="a7"/>
              <w:ind w:firstLine="0"/>
              <w:rPr>
                <w:rFonts w:ascii="Times New Roman" w:hAnsi="Times New Roman" w:cs="Times New Roman"/>
                <w:b/>
                <w:sz w:val="26"/>
                <w:szCs w:val="26"/>
              </w:rPr>
            </w:pPr>
            <w:r w:rsidRPr="006A72F3">
              <w:rPr>
                <w:rFonts w:ascii="Times New Roman" w:hAnsi="Times New Roman" w:cs="Times New Roman"/>
                <w:b/>
                <w:sz w:val="26"/>
                <w:szCs w:val="26"/>
              </w:rPr>
              <w:t>до року</w:t>
            </w:r>
          </w:p>
        </w:tc>
        <w:tc>
          <w:tcPr>
            <w:tcW w:w="496" w:type="pct"/>
            <w:tcBorders>
              <w:top w:val="outset" w:sz="6" w:space="0" w:color="000000"/>
              <w:left w:val="outset" w:sz="6" w:space="0" w:color="000000"/>
              <w:bottom w:val="outset" w:sz="6" w:space="0" w:color="000000"/>
              <w:right w:val="outset" w:sz="6" w:space="0" w:color="000000"/>
            </w:tcBorders>
            <w:hideMark/>
          </w:tcPr>
          <w:p w:rsidR="006A72F3" w:rsidRPr="006A72F3" w:rsidRDefault="006A72F3" w:rsidP="006A72F3">
            <w:pPr>
              <w:pStyle w:val="a7"/>
              <w:ind w:firstLine="0"/>
              <w:rPr>
                <w:rFonts w:ascii="Times New Roman" w:hAnsi="Times New Roman" w:cs="Times New Roman"/>
                <w:b/>
                <w:sz w:val="26"/>
                <w:szCs w:val="26"/>
              </w:rPr>
            </w:pPr>
            <w:r w:rsidRPr="006A72F3">
              <w:rPr>
                <w:rFonts w:ascii="Times New Roman" w:hAnsi="Times New Roman" w:cs="Times New Roman"/>
                <w:b/>
                <w:sz w:val="26"/>
                <w:szCs w:val="26"/>
              </w:rPr>
              <w:t>більше року</w:t>
            </w:r>
          </w:p>
        </w:tc>
        <w:tc>
          <w:tcPr>
            <w:tcW w:w="1310" w:type="pct"/>
            <w:vMerge/>
            <w:tcBorders>
              <w:top w:val="outset" w:sz="6" w:space="0" w:color="000000"/>
              <w:left w:val="outset" w:sz="6" w:space="0" w:color="000000"/>
              <w:bottom w:val="outset" w:sz="6" w:space="0" w:color="000000"/>
              <w:right w:val="single" w:sz="4" w:space="0" w:color="auto"/>
            </w:tcBorders>
            <w:vAlign w:val="center"/>
            <w:hideMark/>
          </w:tcPr>
          <w:p w:rsidR="006A72F3" w:rsidRPr="006A72F3" w:rsidRDefault="006A72F3" w:rsidP="006A72F3">
            <w:pPr>
              <w:pStyle w:val="a7"/>
              <w:rPr>
                <w:rFonts w:ascii="Times New Roman" w:hAnsi="Times New Roman" w:cs="Times New Roman"/>
                <w:b/>
                <w:sz w:val="26"/>
                <w:szCs w:val="26"/>
                <w:lang w:eastAsia="ru-RU"/>
              </w:rPr>
            </w:pPr>
          </w:p>
        </w:tc>
      </w:tr>
      <w:tr w:rsidR="006A72F3" w:rsidRPr="006A72F3" w:rsidTr="006A72F3">
        <w:tc>
          <w:tcPr>
            <w:tcW w:w="977" w:type="pct"/>
            <w:tcBorders>
              <w:top w:val="single" w:sz="4" w:space="0" w:color="auto"/>
              <w:left w:val="single" w:sz="4" w:space="0" w:color="auto"/>
              <w:bottom w:val="single" w:sz="4" w:space="0" w:color="auto"/>
              <w:right w:val="single" w:sz="4" w:space="0" w:color="auto"/>
            </w:tcBorders>
            <w:vAlign w:val="center"/>
            <w:hideMark/>
          </w:tcPr>
          <w:p w:rsidR="006A72F3" w:rsidRPr="006A72F3" w:rsidRDefault="006A72F3" w:rsidP="006A72F3">
            <w:pPr>
              <w:pStyle w:val="a7"/>
              <w:ind w:firstLine="0"/>
              <w:rPr>
                <w:rFonts w:ascii="Times New Roman" w:hAnsi="Times New Roman" w:cs="Times New Roman"/>
                <w:sz w:val="26"/>
                <w:szCs w:val="26"/>
              </w:rPr>
            </w:pPr>
            <w:r w:rsidRPr="006A72F3">
              <w:rPr>
                <w:rFonts w:ascii="Times New Roman" w:hAnsi="Times New Roman" w:cs="Times New Roman"/>
                <w:sz w:val="26"/>
                <w:szCs w:val="26"/>
              </w:rPr>
              <w:t>Суб’єкти господарювання</w:t>
            </w:r>
          </w:p>
        </w:tc>
        <w:tc>
          <w:tcPr>
            <w:tcW w:w="1365" w:type="pct"/>
            <w:tcBorders>
              <w:top w:val="outset" w:sz="6" w:space="0" w:color="000000"/>
              <w:left w:val="single" w:sz="4" w:space="0" w:color="auto"/>
              <w:bottom w:val="outset" w:sz="6" w:space="0" w:color="000000"/>
              <w:right w:val="outset" w:sz="6" w:space="0" w:color="000000"/>
            </w:tcBorders>
            <w:vAlign w:val="center"/>
            <w:hideMark/>
          </w:tcPr>
          <w:p w:rsidR="006A72F3" w:rsidRPr="006A72F3" w:rsidRDefault="006A72F3" w:rsidP="006A72F3">
            <w:pPr>
              <w:pStyle w:val="a7"/>
              <w:ind w:firstLine="0"/>
              <w:rPr>
                <w:rFonts w:ascii="Times New Roman" w:hAnsi="Times New Roman" w:cs="Times New Roman"/>
                <w:sz w:val="26"/>
                <w:szCs w:val="26"/>
              </w:rPr>
            </w:pPr>
            <w:proofErr w:type="spellStart"/>
            <w:r w:rsidRPr="006A72F3">
              <w:rPr>
                <w:rFonts w:ascii="Times New Roman" w:hAnsi="Times New Roman" w:cs="Times New Roman"/>
                <w:sz w:val="26"/>
                <w:szCs w:val="26"/>
              </w:rPr>
              <w:t>Надасть</w:t>
            </w:r>
            <w:proofErr w:type="spellEnd"/>
            <w:r w:rsidRPr="006A72F3">
              <w:rPr>
                <w:rFonts w:ascii="Times New Roman" w:hAnsi="Times New Roman" w:cs="Times New Roman"/>
                <w:sz w:val="26"/>
                <w:szCs w:val="26"/>
              </w:rPr>
              <w:t xml:space="preserve"> можливість завчасно провести зміни у виробництво та привести </w:t>
            </w:r>
            <w:r w:rsidRPr="006A72F3">
              <w:rPr>
                <w:rFonts w:ascii="Times New Roman" w:hAnsi="Times New Roman" w:cs="Times New Roman"/>
                <w:spacing w:val="-1"/>
                <w:sz w:val="26"/>
                <w:szCs w:val="26"/>
              </w:rPr>
              <w:t xml:space="preserve">лакофарбову </w:t>
            </w:r>
            <w:r w:rsidRPr="006A72F3">
              <w:rPr>
                <w:rFonts w:ascii="Times New Roman" w:hAnsi="Times New Roman" w:cs="Times New Roman"/>
                <w:sz w:val="26"/>
                <w:szCs w:val="26"/>
              </w:rPr>
              <w:t xml:space="preserve">продукцію у відповідність до Європейських вимог. </w:t>
            </w:r>
          </w:p>
        </w:tc>
        <w:tc>
          <w:tcPr>
            <w:tcW w:w="852" w:type="pct"/>
            <w:tcBorders>
              <w:top w:val="outset" w:sz="6" w:space="0" w:color="000000"/>
              <w:left w:val="outset" w:sz="6" w:space="0" w:color="000000"/>
              <w:bottom w:val="outset" w:sz="6" w:space="0" w:color="000000"/>
              <w:right w:val="outset" w:sz="6" w:space="0" w:color="000000"/>
            </w:tcBorders>
          </w:tcPr>
          <w:p w:rsidR="006A72F3" w:rsidRPr="006A72F3" w:rsidRDefault="006A72F3" w:rsidP="006A72F3">
            <w:pPr>
              <w:pStyle w:val="a7"/>
              <w:ind w:firstLine="0"/>
              <w:rPr>
                <w:rFonts w:ascii="Times New Roman" w:hAnsi="Times New Roman" w:cs="Times New Roman"/>
                <w:sz w:val="26"/>
                <w:szCs w:val="26"/>
              </w:rPr>
            </w:pPr>
          </w:p>
          <w:p w:rsidR="006A72F3" w:rsidRPr="006A72F3" w:rsidRDefault="006A72F3" w:rsidP="006A72F3">
            <w:pPr>
              <w:pStyle w:val="a7"/>
              <w:ind w:firstLine="0"/>
              <w:jc w:val="center"/>
              <w:rPr>
                <w:rFonts w:ascii="Times New Roman" w:hAnsi="Times New Roman" w:cs="Times New Roman"/>
                <w:sz w:val="26"/>
                <w:szCs w:val="26"/>
              </w:rPr>
            </w:pPr>
            <w:r w:rsidRPr="006A72F3">
              <w:rPr>
                <w:rFonts w:ascii="Times New Roman" w:hAnsi="Times New Roman" w:cs="Times New Roman"/>
                <w:sz w:val="26"/>
                <w:szCs w:val="26"/>
              </w:rPr>
              <w:t>не очікується</w:t>
            </w:r>
          </w:p>
        </w:tc>
        <w:tc>
          <w:tcPr>
            <w:tcW w:w="496" w:type="pct"/>
            <w:tcBorders>
              <w:top w:val="outset" w:sz="6" w:space="0" w:color="000000"/>
              <w:left w:val="outset" w:sz="6" w:space="0" w:color="000000"/>
              <w:bottom w:val="outset" w:sz="6" w:space="0" w:color="000000"/>
              <w:right w:val="outset" w:sz="6" w:space="0" w:color="000000"/>
            </w:tcBorders>
          </w:tcPr>
          <w:p w:rsidR="006A72F3" w:rsidRPr="006A72F3" w:rsidRDefault="006A72F3" w:rsidP="006A72F3">
            <w:pPr>
              <w:pStyle w:val="a7"/>
              <w:ind w:firstLine="0"/>
              <w:rPr>
                <w:rFonts w:ascii="Times New Roman" w:hAnsi="Times New Roman" w:cs="Times New Roman"/>
                <w:sz w:val="26"/>
                <w:szCs w:val="26"/>
              </w:rPr>
            </w:pPr>
          </w:p>
          <w:p w:rsidR="006A72F3" w:rsidRPr="006A72F3" w:rsidRDefault="006A72F3" w:rsidP="006A72F3">
            <w:pPr>
              <w:pStyle w:val="a7"/>
              <w:ind w:firstLine="0"/>
              <w:rPr>
                <w:rFonts w:ascii="Times New Roman" w:hAnsi="Times New Roman" w:cs="Times New Roman"/>
                <w:sz w:val="26"/>
                <w:szCs w:val="26"/>
              </w:rPr>
            </w:pPr>
            <w:r w:rsidRPr="006A72F3">
              <w:rPr>
                <w:rFonts w:ascii="Times New Roman" w:hAnsi="Times New Roman" w:cs="Times New Roman"/>
                <w:sz w:val="26"/>
                <w:szCs w:val="26"/>
              </w:rPr>
              <w:t>+</w:t>
            </w:r>
          </w:p>
        </w:tc>
        <w:tc>
          <w:tcPr>
            <w:tcW w:w="1310" w:type="pct"/>
            <w:tcBorders>
              <w:top w:val="outset" w:sz="6" w:space="0" w:color="000000"/>
              <w:left w:val="outset" w:sz="6" w:space="0" w:color="000000"/>
              <w:bottom w:val="outset" w:sz="6" w:space="0" w:color="000000"/>
              <w:right w:val="single" w:sz="4" w:space="0" w:color="auto"/>
            </w:tcBorders>
            <w:hideMark/>
          </w:tcPr>
          <w:p w:rsidR="006A72F3" w:rsidRPr="006A72F3" w:rsidRDefault="006A72F3" w:rsidP="006A72F3">
            <w:pPr>
              <w:pStyle w:val="a7"/>
              <w:ind w:firstLine="0"/>
              <w:rPr>
                <w:rFonts w:ascii="Times New Roman" w:hAnsi="Times New Roman" w:cs="Times New Roman"/>
                <w:sz w:val="26"/>
                <w:szCs w:val="26"/>
              </w:rPr>
            </w:pPr>
            <w:r w:rsidRPr="006A72F3">
              <w:rPr>
                <w:rFonts w:ascii="Times New Roman" w:hAnsi="Times New Roman" w:cs="Times New Roman"/>
                <w:spacing w:val="-1"/>
                <w:sz w:val="26"/>
                <w:szCs w:val="26"/>
              </w:rPr>
              <w:t xml:space="preserve">Збільшення обсягів виробництва через зростання попиту споживачів на екологічно безпечну </w:t>
            </w:r>
            <w:r w:rsidRPr="006A72F3">
              <w:rPr>
                <w:rFonts w:ascii="Times New Roman" w:hAnsi="Times New Roman" w:cs="Times New Roman"/>
                <w:sz w:val="26"/>
                <w:szCs w:val="26"/>
              </w:rPr>
              <w:t xml:space="preserve">лакофарбову </w:t>
            </w:r>
            <w:r w:rsidRPr="006A72F3">
              <w:rPr>
                <w:rFonts w:ascii="Times New Roman" w:hAnsi="Times New Roman" w:cs="Times New Roman"/>
                <w:spacing w:val="-1"/>
                <w:sz w:val="26"/>
                <w:szCs w:val="26"/>
              </w:rPr>
              <w:t>продукцію</w:t>
            </w:r>
            <w:r w:rsidRPr="006A72F3">
              <w:rPr>
                <w:rFonts w:ascii="Times New Roman" w:hAnsi="Times New Roman" w:cs="Times New Roman"/>
                <w:sz w:val="26"/>
                <w:szCs w:val="26"/>
              </w:rPr>
              <w:t xml:space="preserve"> для будівель та ремонту колісних транспортних засобів. </w:t>
            </w:r>
          </w:p>
        </w:tc>
      </w:tr>
      <w:tr w:rsidR="006A72F3" w:rsidRPr="006A72F3" w:rsidTr="006A72F3">
        <w:trPr>
          <w:trHeight w:val="2192"/>
        </w:trPr>
        <w:tc>
          <w:tcPr>
            <w:tcW w:w="977" w:type="pct"/>
            <w:tcBorders>
              <w:top w:val="single" w:sz="4" w:space="0" w:color="auto"/>
              <w:left w:val="single" w:sz="4" w:space="0" w:color="auto"/>
              <w:bottom w:val="single" w:sz="4" w:space="0" w:color="auto"/>
              <w:right w:val="single" w:sz="4" w:space="0" w:color="auto"/>
            </w:tcBorders>
            <w:vAlign w:val="center"/>
            <w:hideMark/>
          </w:tcPr>
          <w:p w:rsidR="006A72F3" w:rsidRPr="006A72F3" w:rsidRDefault="006A72F3" w:rsidP="006A72F3">
            <w:pPr>
              <w:spacing w:after="200" w:line="276" w:lineRule="auto"/>
              <w:ind w:firstLine="0"/>
              <w:rPr>
                <w:rFonts w:ascii="Times New Roman" w:hAnsi="Times New Roman" w:cs="Times New Roman"/>
                <w:sz w:val="26"/>
                <w:szCs w:val="26"/>
              </w:rPr>
            </w:pPr>
            <w:r w:rsidRPr="006A72F3">
              <w:rPr>
                <w:rFonts w:ascii="Times New Roman" w:hAnsi="Times New Roman" w:cs="Times New Roman"/>
                <w:sz w:val="26"/>
                <w:szCs w:val="26"/>
              </w:rPr>
              <w:t>Держава</w:t>
            </w:r>
          </w:p>
        </w:tc>
        <w:tc>
          <w:tcPr>
            <w:tcW w:w="1365" w:type="pct"/>
            <w:tcBorders>
              <w:top w:val="outset" w:sz="6" w:space="0" w:color="000000"/>
              <w:left w:val="single" w:sz="4" w:space="0" w:color="auto"/>
              <w:bottom w:val="outset" w:sz="6" w:space="0" w:color="000000"/>
              <w:right w:val="outset" w:sz="6" w:space="0" w:color="000000"/>
            </w:tcBorders>
            <w:vAlign w:val="center"/>
            <w:hideMark/>
          </w:tcPr>
          <w:p w:rsidR="006A72F3" w:rsidRPr="006A72F3" w:rsidRDefault="006A72F3" w:rsidP="006A72F3">
            <w:pPr>
              <w:ind w:firstLine="0"/>
              <w:rPr>
                <w:rFonts w:ascii="Times New Roman" w:hAnsi="Times New Roman" w:cs="Times New Roman"/>
                <w:sz w:val="26"/>
                <w:szCs w:val="26"/>
              </w:rPr>
            </w:pPr>
            <w:r w:rsidRPr="006A72F3">
              <w:rPr>
                <w:rFonts w:ascii="Times New Roman" w:hAnsi="Times New Roman" w:cs="Times New Roman"/>
                <w:spacing w:val="-1"/>
                <w:sz w:val="26"/>
                <w:szCs w:val="26"/>
              </w:rPr>
              <w:t xml:space="preserve">Забезпечення виконання Національної програми імплементації Угоди про асоціацію між Україною </w:t>
            </w:r>
            <w:r w:rsidRPr="006A72F3">
              <w:rPr>
                <w:rFonts w:ascii="Times New Roman" w:hAnsi="Times New Roman" w:cs="Times New Roman"/>
                <w:sz w:val="26"/>
                <w:szCs w:val="26"/>
              </w:rPr>
              <w:t>та Європейським Союзом</w:t>
            </w:r>
          </w:p>
        </w:tc>
        <w:tc>
          <w:tcPr>
            <w:tcW w:w="852" w:type="pct"/>
            <w:tcBorders>
              <w:top w:val="outset" w:sz="6" w:space="0" w:color="000000"/>
              <w:left w:val="outset" w:sz="6" w:space="0" w:color="000000"/>
              <w:bottom w:val="outset" w:sz="6" w:space="0" w:color="000000"/>
              <w:right w:val="outset" w:sz="6" w:space="0" w:color="000000"/>
            </w:tcBorders>
          </w:tcPr>
          <w:p w:rsidR="006A72F3" w:rsidRPr="006A72F3" w:rsidRDefault="006A72F3" w:rsidP="006A72F3">
            <w:pPr>
              <w:pStyle w:val="rvps12"/>
              <w:spacing w:line="276" w:lineRule="auto"/>
              <w:jc w:val="center"/>
              <w:rPr>
                <w:sz w:val="26"/>
                <w:szCs w:val="26"/>
                <w:lang w:val="uk-UA"/>
              </w:rPr>
            </w:pPr>
          </w:p>
          <w:p w:rsidR="006A72F3" w:rsidRPr="006A72F3" w:rsidRDefault="006A72F3" w:rsidP="006A72F3">
            <w:pPr>
              <w:pStyle w:val="rvps12"/>
              <w:spacing w:line="276" w:lineRule="auto"/>
              <w:jc w:val="center"/>
              <w:rPr>
                <w:sz w:val="26"/>
                <w:szCs w:val="26"/>
                <w:lang w:val="uk-UA"/>
              </w:rPr>
            </w:pPr>
            <w:r w:rsidRPr="006A72F3">
              <w:rPr>
                <w:sz w:val="26"/>
                <w:szCs w:val="26"/>
                <w:lang w:val="uk-UA"/>
              </w:rPr>
              <w:t>не очікується</w:t>
            </w:r>
          </w:p>
        </w:tc>
        <w:tc>
          <w:tcPr>
            <w:tcW w:w="496" w:type="pct"/>
            <w:tcBorders>
              <w:top w:val="outset" w:sz="6" w:space="0" w:color="000000"/>
              <w:left w:val="outset" w:sz="6" w:space="0" w:color="000000"/>
              <w:bottom w:val="outset" w:sz="6" w:space="0" w:color="000000"/>
              <w:right w:val="outset" w:sz="6" w:space="0" w:color="000000"/>
            </w:tcBorders>
          </w:tcPr>
          <w:p w:rsidR="006A72F3" w:rsidRPr="006A72F3" w:rsidRDefault="006A72F3" w:rsidP="006A72F3">
            <w:pPr>
              <w:pStyle w:val="rvps12"/>
              <w:spacing w:line="276" w:lineRule="auto"/>
              <w:jc w:val="center"/>
              <w:rPr>
                <w:sz w:val="26"/>
                <w:szCs w:val="26"/>
                <w:lang w:val="uk-UA"/>
              </w:rPr>
            </w:pPr>
          </w:p>
          <w:p w:rsidR="006A72F3" w:rsidRPr="006A72F3" w:rsidRDefault="006A72F3" w:rsidP="006A72F3">
            <w:pPr>
              <w:pStyle w:val="rvps12"/>
              <w:spacing w:line="276" w:lineRule="auto"/>
              <w:jc w:val="center"/>
              <w:rPr>
                <w:sz w:val="26"/>
                <w:szCs w:val="26"/>
                <w:lang w:val="uk-UA"/>
              </w:rPr>
            </w:pPr>
            <w:r w:rsidRPr="006A72F3">
              <w:rPr>
                <w:sz w:val="26"/>
                <w:szCs w:val="26"/>
                <w:lang w:val="uk-UA"/>
              </w:rPr>
              <w:t>+</w:t>
            </w:r>
          </w:p>
        </w:tc>
        <w:tc>
          <w:tcPr>
            <w:tcW w:w="1310" w:type="pct"/>
            <w:tcBorders>
              <w:top w:val="outset" w:sz="6" w:space="0" w:color="000000"/>
              <w:left w:val="outset" w:sz="6" w:space="0" w:color="000000"/>
              <w:bottom w:val="outset" w:sz="6" w:space="0" w:color="000000"/>
              <w:right w:val="outset" w:sz="6" w:space="0" w:color="000000"/>
            </w:tcBorders>
            <w:hideMark/>
          </w:tcPr>
          <w:p w:rsidR="006A72F3" w:rsidRPr="006A72F3" w:rsidRDefault="006A72F3" w:rsidP="006A72F3">
            <w:pPr>
              <w:ind w:firstLine="0"/>
              <w:rPr>
                <w:rFonts w:ascii="Times New Roman" w:hAnsi="Times New Roman" w:cs="Times New Roman"/>
                <w:spacing w:val="-1"/>
                <w:sz w:val="26"/>
                <w:szCs w:val="26"/>
              </w:rPr>
            </w:pPr>
            <w:r w:rsidRPr="006A72F3">
              <w:rPr>
                <w:rFonts w:ascii="Times New Roman" w:hAnsi="Times New Roman" w:cs="Times New Roman"/>
                <w:spacing w:val="-1"/>
                <w:sz w:val="26"/>
                <w:szCs w:val="26"/>
              </w:rPr>
              <w:t xml:space="preserve">Приведення у відповідність законодавства України до законодавства ЄС. </w:t>
            </w:r>
          </w:p>
          <w:p w:rsidR="006A72F3" w:rsidRPr="006A72F3" w:rsidRDefault="006A72F3" w:rsidP="006A72F3">
            <w:pPr>
              <w:pStyle w:val="1"/>
              <w:spacing w:after="0" w:line="240" w:lineRule="auto"/>
              <w:ind w:left="0"/>
              <w:rPr>
                <w:rFonts w:ascii="Times New Roman" w:hAnsi="Times New Roman"/>
                <w:sz w:val="26"/>
                <w:szCs w:val="26"/>
              </w:rPr>
            </w:pPr>
            <w:r w:rsidRPr="006A72F3">
              <w:rPr>
                <w:rFonts w:ascii="Times New Roman" w:hAnsi="Times New Roman"/>
                <w:sz w:val="26"/>
                <w:szCs w:val="26"/>
              </w:rPr>
              <w:t>Усунення технічних бар’єрів в торгівлі</w:t>
            </w:r>
          </w:p>
        </w:tc>
      </w:tr>
    </w:tbl>
    <w:p w:rsidR="006A72F3" w:rsidRDefault="006A72F3" w:rsidP="006A72F3">
      <w:pPr>
        <w:ind w:right="257"/>
        <w:rPr>
          <w:rFonts w:ascii="Times New Roman" w:hAnsi="Times New Roman"/>
          <w:color w:val="FF0000"/>
        </w:rPr>
      </w:pPr>
    </w:p>
    <w:p w:rsidR="006A72F3" w:rsidRPr="006A72F3" w:rsidRDefault="006A72F3" w:rsidP="006A72F3">
      <w:pPr>
        <w:pStyle w:val="HTML"/>
        <w:tabs>
          <w:tab w:val="clear" w:pos="916"/>
          <w:tab w:val="left" w:pos="1069"/>
        </w:tabs>
        <w:ind w:firstLine="709"/>
        <w:jc w:val="both"/>
        <w:rPr>
          <w:rFonts w:ascii="Times New Roman" w:hAnsi="Times New Roman" w:cs="Times New Roman"/>
          <w:b/>
          <w:sz w:val="26"/>
          <w:szCs w:val="26"/>
          <w:lang w:val="uk-UA"/>
        </w:rPr>
      </w:pPr>
    </w:p>
    <w:sectPr w:rsidR="006A72F3" w:rsidRPr="006A72F3" w:rsidSect="00653E17">
      <w:headerReference w:type="default" r:id="rId9"/>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68E3">
      <w:r>
        <w:separator/>
      </w:r>
    </w:p>
  </w:endnote>
  <w:endnote w:type="continuationSeparator" w:id="0">
    <w:p w:rsidR="00000000" w:rsidRDefault="00DC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68E3">
      <w:r>
        <w:separator/>
      </w:r>
    </w:p>
  </w:footnote>
  <w:footnote w:type="continuationSeparator" w:id="0">
    <w:p w:rsidR="00000000" w:rsidRDefault="00DC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3317"/>
      <w:docPartObj>
        <w:docPartGallery w:val="Page Numbers (Top of Page)"/>
        <w:docPartUnique/>
      </w:docPartObj>
    </w:sdtPr>
    <w:sdtEndPr/>
    <w:sdtContent>
      <w:p w:rsidR="00653E17" w:rsidRDefault="006A72F3">
        <w:pPr>
          <w:pStyle w:val="a5"/>
          <w:jc w:val="center"/>
        </w:pPr>
        <w:r>
          <w:fldChar w:fldCharType="begin"/>
        </w:r>
        <w:r>
          <w:instrText>PAGE   \* MERGEFORMAT</w:instrText>
        </w:r>
        <w:r>
          <w:fldChar w:fldCharType="separate"/>
        </w:r>
        <w:r>
          <w:rPr>
            <w:noProof/>
          </w:rPr>
          <w:t>6</w:t>
        </w:r>
        <w:r>
          <w:fldChar w:fldCharType="end"/>
        </w:r>
      </w:p>
    </w:sdtContent>
  </w:sdt>
  <w:p w:rsidR="00653E17" w:rsidRDefault="00DC68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02423"/>
    <w:multiLevelType w:val="hybridMultilevel"/>
    <w:tmpl w:val="D518A25A"/>
    <w:lvl w:ilvl="0" w:tplc="F6745798">
      <w:start w:val="1"/>
      <w:numFmt w:val="decimal"/>
      <w:lvlText w:val="%1."/>
      <w:lvlJc w:val="left"/>
      <w:pPr>
        <w:ind w:left="1069" w:hanging="360"/>
      </w:pPr>
      <w:rPr>
        <w:rFonts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2B"/>
    <w:rsid w:val="0013130A"/>
    <w:rsid w:val="00287006"/>
    <w:rsid w:val="006A72F3"/>
    <w:rsid w:val="007B4BE2"/>
    <w:rsid w:val="008E58B6"/>
    <w:rsid w:val="00BB4C2B"/>
    <w:rsid w:val="00DC68E3"/>
    <w:rsid w:val="00DD7693"/>
    <w:rsid w:val="00F36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2B"/>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B4C2B"/>
    <w:rPr>
      <w:rFonts w:ascii="Courier New" w:eastAsia="Times New Roman" w:hAnsi="Courier New" w:cs="Courier New"/>
      <w:sz w:val="20"/>
      <w:szCs w:val="20"/>
      <w:lang w:val="ru-RU" w:eastAsia="ru-RU"/>
    </w:rPr>
  </w:style>
  <w:style w:type="paragraph" w:styleId="a3">
    <w:name w:val="List Paragraph"/>
    <w:basedOn w:val="a"/>
    <w:uiPriority w:val="34"/>
    <w:qFormat/>
    <w:rsid w:val="00BB4C2B"/>
    <w:pPr>
      <w:ind w:left="720"/>
      <w:contextualSpacing/>
    </w:pPr>
  </w:style>
  <w:style w:type="character" w:styleId="a4">
    <w:name w:val="Hyperlink"/>
    <w:basedOn w:val="a0"/>
    <w:uiPriority w:val="99"/>
    <w:unhideWhenUsed/>
    <w:rsid w:val="007B4BE2"/>
    <w:rPr>
      <w:rFonts w:cs="Times New Roman"/>
      <w:color w:val="0563C1" w:themeColor="hyperlink"/>
      <w:u w:val="single"/>
    </w:rPr>
  </w:style>
  <w:style w:type="paragraph" w:styleId="a5">
    <w:name w:val="header"/>
    <w:basedOn w:val="a"/>
    <w:link w:val="a6"/>
    <w:uiPriority w:val="99"/>
    <w:unhideWhenUsed/>
    <w:rsid w:val="006A72F3"/>
    <w:pPr>
      <w:tabs>
        <w:tab w:val="center" w:pos="4819"/>
        <w:tab w:val="right" w:pos="9639"/>
      </w:tabs>
    </w:pPr>
  </w:style>
  <w:style w:type="character" w:customStyle="1" w:styleId="a6">
    <w:name w:val="Верхний колонтитул Знак"/>
    <w:basedOn w:val="a0"/>
    <w:link w:val="a5"/>
    <w:uiPriority w:val="99"/>
    <w:rsid w:val="006A72F3"/>
  </w:style>
  <w:style w:type="paragraph" w:customStyle="1" w:styleId="rvps12">
    <w:name w:val="rvps12"/>
    <w:basedOn w:val="a"/>
    <w:rsid w:val="006A72F3"/>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4">
    <w:name w:val="Основной текст (4)_"/>
    <w:link w:val="40"/>
    <w:locked/>
    <w:rsid w:val="006A72F3"/>
    <w:rPr>
      <w:b/>
      <w:sz w:val="26"/>
      <w:shd w:val="clear" w:color="auto" w:fill="FFFFFF"/>
    </w:rPr>
  </w:style>
  <w:style w:type="paragraph" w:customStyle="1" w:styleId="40">
    <w:name w:val="Основной текст (4)"/>
    <w:basedOn w:val="a"/>
    <w:link w:val="4"/>
    <w:rsid w:val="006A72F3"/>
    <w:pPr>
      <w:widowControl w:val="0"/>
      <w:shd w:val="clear" w:color="auto" w:fill="FFFFFF"/>
      <w:spacing w:before="60" w:after="60" w:line="370" w:lineRule="exact"/>
      <w:ind w:firstLine="0"/>
    </w:pPr>
    <w:rPr>
      <w:b/>
      <w:sz w:val="26"/>
    </w:rPr>
  </w:style>
  <w:style w:type="paragraph" w:customStyle="1" w:styleId="1">
    <w:name w:val="Абзац списка1"/>
    <w:basedOn w:val="a"/>
    <w:rsid w:val="006A72F3"/>
    <w:pPr>
      <w:spacing w:after="200" w:line="276" w:lineRule="auto"/>
      <w:ind w:left="720" w:firstLine="0"/>
      <w:contextualSpacing/>
      <w:jc w:val="left"/>
    </w:pPr>
    <w:rPr>
      <w:rFonts w:ascii="Calibri" w:eastAsia="Times New Roman" w:hAnsi="Calibri" w:cs="Times New Roman"/>
    </w:rPr>
  </w:style>
  <w:style w:type="character" w:customStyle="1" w:styleId="rvts15">
    <w:name w:val="rvts15"/>
    <w:basedOn w:val="a0"/>
    <w:rsid w:val="006A72F3"/>
    <w:rPr>
      <w:rFonts w:ascii="Times New Roman" w:hAnsi="Times New Roman" w:cs="Times New Roman" w:hint="default"/>
    </w:rPr>
  </w:style>
  <w:style w:type="paragraph" w:styleId="a7">
    <w:name w:val="No Spacing"/>
    <w:uiPriority w:val="1"/>
    <w:qFormat/>
    <w:rsid w:val="006A72F3"/>
    <w:pPr>
      <w:spacing w:after="0" w:line="24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2B"/>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B4C2B"/>
    <w:rPr>
      <w:rFonts w:ascii="Courier New" w:eastAsia="Times New Roman" w:hAnsi="Courier New" w:cs="Courier New"/>
      <w:sz w:val="20"/>
      <w:szCs w:val="20"/>
      <w:lang w:val="ru-RU" w:eastAsia="ru-RU"/>
    </w:rPr>
  </w:style>
  <w:style w:type="paragraph" w:styleId="a3">
    <w:name w:val="List Paragraph"/>
    <w:basedOn w:val="a"/>
    <w:uiPriority w:val="34"/>
    <w:qFormat/>
    <w:rsid w:val="00BB4C2B"/>
    <w:pPr>
      <w:ind w:left="720"/>
      <w:contextualSpacing/>
    </w:pPr>
  </w:style>
  <w:style w:type="character" w:styleId="a4">
    <w:name w:val="Hyperlink"/>
    <w:basedOn w:val="a0"/>
    <w:uiPriority w:val="99"/>
    <w:unhideWhenUsed/>
    <w:rsid w:val="007B4BE2"/>
    <w:rPr>
      <w:rFonts w:cs="Times New Roman"/>
      <w:color w:val="0563C1" w:themeColor="hyperlink"/>
      <w:u w:val="single"/>
    </w:rPr>
  </w:style>
  <w:style w:type="paragraph" w:styleId="a5">
    <w:name w:val="header"/>
    <w:basedOn w:val="a"/>
    <w:link w:val="a6"/>
    <w:uiPriority w:val="99"/>
    <w:unhideWhenUsed/>
    <w:rsid w:val="006A72F3"/>
    <w:pPr>
      <w:tabs>
        <w:tab w:val="center" w:pos="4819"/>
        <w:tab w:val="right" w:pos="9639"/>
      </w:tabs>
    </w:pPr>
  </w:style>
  <w:style w:type="character" w:customStyle="1" w:styleId="a6">
    <w:name w:val="Верхний колонтитул Знак"/>
    <w:basedOn w:val="a0"/>
    <w:link w:val="a5"/>
    <w:uiPriority w:val="99"/>
    <w:rsid w:val="006A72F3"/>
  </w:style>
  <w:style w:type="paragraph" w:customStyle="1" w:styleId="rvps12">
    <w:name w:val="rvps12"/>
    <w:basedOn w:val="a"/>
    <w:rsid w:val="006A72F3"/>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4">
    <w:name w:val="Основной текст (4)_"/>
    <w:link w:val="40"/>
    <w:locked/>
    <w:rsid w:val="006A72F3"/>
    <w:rPr>
      <w:b/>
      <w:sz w:val="26"/>
      <w:shd w:val="clear" w:color="auto" w:fill="FFFFFF"/>
    </w:rPr>
  </w:style>
  <w:style w:type="paragraph" w:customStyle="1" w:styleId="40">
    <w:name w:val="Основной текст (4)"/>
    <w:basedOn w:val="a"/>
    <w:link w:val="4"/>
    <w:rsid w:val="006A72F3"/>
    <w:pPr>
      <w:widowControl w:val="0"/>
      <w:shd w:val="clear" w:color="auto" w:fill="FFFFFF"/>
      <w:spacing w:before="60" w:after="60" w:line="370" w:lineRule="exact"/>
      <w:ind w:firstLine="0"/>
    </w:pPr>
    <w:rPr>
      <w:b/>
      <w:sz w:val="26"/>
    </w:rPr>
  </w:style>
  <w:style w:type="paragraph" w:customStyle="1" w:styleId="1">
    <w:name w:val="Абзац списка1"/>
    <w:basedOn w:val="a"/>
    <w:rsid w:val="006A72F3"/>
    <w:pPr>
      <w:spacing w:after="200" w:line="276" w:lineRule="auto"/>
      <w:ind w:left="720" w:firstLine="0"/>
      <w:contextualSpacing/>
      <w:jc w:val="left"/>
    </w:pPr>
    <w:rPr>
      <w:rFonts w:ascii="Calibri" w:eastAsia="Times New Roman" w:hAnsi="Calibri" w:cs="Times New Roman"/>
    </w:rPr>
  </w:style>
  <w:style w:type="character" w:customStyle="1" w:styleId="rvts15">
    <w:name w:val="rvts15"/>
    <w:basedOn w:val="a0"/>
    <w:rsid w:val="006A72F3"/>
    <w:rPr>
      <w:rFonts w:ascii="Times New Roman" w:hAnsi="Times New Roman" w:cs="Times New Roman" w:hint="default"/>
    </w:rPr>
  </w:style>
  <w:style w:type="paragraph" w:styleId="a7">
    <w:name w:val="No Spacing"/>
    <w:uiPriority w:val="1"/>
    <w:qFormat/>
    <w:rsid w:val="006A72F3"/>
    <w:pPr>
      <w:spacing w:after="0" w:line="24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4397">
      <w:bodyDiv w:val="1"/>
      <w:marLeft w:val="0"/>
      <w:marRight w:val="0"/>
      <w:marTop w:val="0"/>
      <w:marBottom w:val="0"/>
      <w:divBdr>
        <w:top w:val="none" w:sz="0" w:space="0" w:color="auto"/>
        <w:left w:val="none" w:sz="0" w:space="0" w:color="auto"/>
        <w:bottom w:val="none" w:sz="0" w:space="0" w:color="auto"/>
        <w:right w:val="none" w:sz="0" w:space="0" w:color="auto"/>
      </w:divBdr>
      <w:divsChild>
        <w:div w:id="589630502">
          <w:marLeft w:val="0"/>
          <w:marRight w:val="0"/>
          <w:marTop w:val="90"/>
          <w:marBottom w:val="0"/>
          <w:divBdr>
            <w:top w:val="none" w:sz="0" w:space="0" w:color="auto"/>
            <w:left w:val="none" w:sz="0" w:space="0" w:color="auto"/>
            <w:bottom w:val="none" w:sz="0" w:space="0" w:color="auto"/>
            <w:right w:val="none" w:sz="0" w:space="0" w:color="auto"/>
          </w:divBdr>
          <w:divsChild>
            <w:div w:id="585502298">
              <w:marLeft w:val="0"/>
              <w:marRight w:val="0"/>
              <w:marTop w:val="0"/>
              <w:marBottom w:val="420"/>
              <w:divBdr>
                <w:top w:val="none" w:sz="0" w:space="0" w:color="auto"/>
                <w:left w:val="none" w:sz="0" w:space="0" w:color="auto"/>
                <w:bottom w:val="none" w:sz="0" w:space="0" w:color="auto"/>
                <w:right w:val="none" w:sz="0" w:space="0" w:color="auto"/>
              </w:divBdr>
              <w:divsChild>
                <w:div w:id="1241713746">
                  <w:marLeft w:val="0"/>
                  <w:marRight w:val="0"/>
                  <w:marTop w:val="0"/>
                  <w:marBottom w:val="0"/>
                  <w:divBdr>
                    <w:top w:val="none" w:sz="0" w:space="0" w:color="auto"/>
                    <w:left w:val="none" w:sz="0" w:space="0" w:color="auto"/>
                    <w:bottom w:val="none" w:sz="0" w:space="0" w:color="auto"/>
                    <w:right w:val="none" w:sz="0" w:space="0" w:color="auto"/>
                  </w:divBdr>
                  <w:divsChild>
                    <w:div w:id="9283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1678</Words>
  <Characters>9567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Леся Юріївна</dc:creator>
  <cp:lastModifiedBy>Пользователь Windows</cp:lastModifiedBy>
  <cp:revision>4</cp:revision>
  <dcterms:created xsi:type="dcterms:W3CDTF">2020-05-13T09:32:00Z</dcterms:created>
  <dcterms:modified xsi:type="dcterms:W3CDTF">2020-05-18T07:21:00Z</dcterms:modified>
</cp:coreProperties>
</file>