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7A" w:rsidRPr="0089477A" w:rsidRDefault="0089477A" w:rsidP="0089477A">
      <w:pPr>
        <w:jc w:val="right"/>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ЗАТВЕРДЖЕНО</w:t>
      </w:r>
    </w:p>
    <w:p w:rsidR="0089477A" w:rsidRPr="0089477A" w:rsidRDefault="0089477A" w:rsidP="0089477A">
      <w:pPr>
        <w:jc w:val="right"/>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постановою Кабінету Міністрів України</w:t>
      </w:r>
    </w:p>
    <w:p w:rsidR="0089477A" w:rsidRPr="0089477A" w:rsidRDefault="0089477A" w:rsidP="0089477A">
      <w:pPr>
        <w:jc w:val="right"/>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від «____» _____________ 2020 р. № ____</w:t>
      </w:r>
    </w:p>
    <w:p w:rsidR="0089477A" w:rsidRPr="0089477A" w:rsidRDefault="0089477A" w:rsidP="0089477A">
      <w:pPr>
        <w:jc w:val="both"/>
        <w:rPr>
          <w:rFonts w:ascii="Times New Roman" w:eastAsia="Times New Roman" w:hAnsi="Times New Roman" w:cs="Times New Roman"/>
          <w:b/>
          <w:color w:val="000000"/>
          <w:sz w:val="28"/>
          <w:szCs w:val="28"/>
        </w:rPr>
      </w:pPr>
    </w:p>
    <w:p w:rsidR="0089477A" w:rsidRPr="0089477A" w:rsidRDefault="0089477A" w:rsidP="0089477A">
      <w:pPr>
        <w:ind w:firstLine="0"/>
        <w:jc w:val="center"/>
        <w:rPr>
          <w:rFonts w:ascii="Times New Roman" w:eastAsia="Times New Roman" w:hAnsi="Times New Roman" w:cs="Times New Roman"/>
          <w:b/>
          <w:color w:val="000000"/>
          <w:sz w:val="28"/>
          <w:szCs w:val="28"/>
        </w:rPr>
      </w:pPr>
      <w:r w:rsidRPr="0089477A">
        <w:rPr>
          <w:rFonts w:ascii="Times New Roman" w:eastAsia="Times New Roman" w:hAnsi="Times New Roman" w:cs="Times New Roman"/>
          <w:b/>
          <w:color w:val="000000"/>
          <w:sz w:val="28"/>
          <w:szCs w:val="28"/>
        </w:rPr>
        <w:t>МЕТОДИКА</w:t>
      </w:r>
    </w:p>
    <w:p w:rsidR="0089477A" w:rsidRPr="0089477A" w:rsidRDefault="0089477A" w:rsidP="0089477A">
      <w:pPr>
        <w:ind w:firstLine="0"/>
        <w:jc w:val="center"/>
        <w:rPr>
          <w:rFonts w:ascii="Times New Roman" w:eastAsia="Times New Roman" w:hAnsi="Times New Roman" w:cs="Times New Roman"/>
          <w:b/>
          <w:color w:val="000000"/>
          <w:sz w:val="28"/>
          <w:szCs w:val="28"/>
        </w:rPr>
      </w:pPr>
      <w:r w:rsidRPr="0089477A">
        <w:rPr>
          <w:rFonts w:ascii="Times New Roman" w:eastAsia="Times New Roman" w:hAnsi="Times New Roman" w:cs="Times New Roman"/>
          <w:b/>
          <w:color w:val="000000"/>
          <w:sz w:val="28"/>
          <w:szCs w:val="28"/>
        </w:rPr>
        <w:t>нормативної грошової оцінки земельних ділянок</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 Об’єктом нормативної грошової оцінки є земельні ділянки та землі усіх категорій та форм власності в межах території територіальної громади (або її частини).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2. Межі сіл, селищ, міст, а також межі території територіальної громади приймаються на підставі проектів формування території і встановлення меж сільських, селищних рад або інших матеріалів, за якими, відповідно до законодавства, яке діяло на момент їх затвердження, здійснювалося встановлення (зміна) їх меж. У разі відсутності таких матеріалів і до моменту внесення до Державного земельного кадастру відомостей про межі сіл, селищ, міст, відомостями про такі межі, а такожмежі території територіальної громади (сільської, селищної, міської) ради, вважаються дані, що збігаються з межами, відображеними на індексних кадастрових картах (планах) сіл, селищ, міст, районів за відомостями Державного земельного кадастру, а межі об’єднаної територіальної громади визначаються по зовнішніх межах юрисдикції рад територіальних громад, що об’єдналися.</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3. Нормативна грошова оцінка земельної ділянки (Цн) визначається за формулою:</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center"/>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Цн = Пд х Нрд х Км1 х Км2 х Км3 х Км4 х Кцп х Кмц х Кні,</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де Пд – площа земельної ділянки, квадратних метрів;</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Нрд – норматив капіталізованого рентного доходу за одиницю площі згідно додатку 1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Км1 – коефіцієнт, який враховує розташування громади в межах зони впливу великих міст;</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Км2 – коефіцієнт, який враховує курортно-рекреаційне значення населених пунктів;</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Км3 – коефіцієнт, який враховує розташування громади в межах зон радіаційного забруднення;</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Км4 – коефіцієнт, який характеризує зональні фактори місцеположення земельної ділянки;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Кцп – коефіцієнт, який враховує цільове призначення земельної ділянки відповідно до відомостей Державного земельного кадастру;</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Кмц – коефіцієнт, який враховує особливості використання земельної ділянки в межах категорії земель за основним цільовим призначенням;</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Кні – добуток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4. Площа (Пд) та цільове призначення земельної ділянки приймаються за відомостями Державного земельного кадастру. У разі відсутності відомостей про земельну ділянку у Державному земельному кадастрі, площа та цільове призначення земельної ділянки приймаються згідно документації із землеустрою, на підставі якої здійснювалося формування цієї земельної ділянки, або документу, що посвідчує право власності (користування) земельною ділянкою.</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Чисельність населення населених пунктів та громад приймається відповідно до відомостей про чисельність наявного населення за даними (довідниками) спеціально уповноваженого центрального органу виконавчої влади в галузі статистики за станом на 1 січня року, що передує року проведення оцінки.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5. Норматив капіталізованого рентного доходу за одиницю площі (Нрд) приймається відповідно до категорії земельної ділянки за основним цільовим призначенням.</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Норматив капіталізованого рентного доходу (Нрд)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додатку 1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Норматив капіталізованого рентного доходу (Нрд)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приймається відповідно до додатку 2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6. Коефіцієнт, який враховує розташування громади в межах зони впливу великих міст (Км1), приймається відповідно до додатку 3 до цієї Методики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громад, що розташовані поза зонами впливу великих міст, а також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враховує розташування громади в межах зони впливу великих міст (Км1) застосовується із значенням 1,0.</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7. Коефіцієнт, який враховує курортно-рекреаційне значення населених пунктів (Км2), приймається для територій окремих населених пунктів відповідно до додатку 4 до цієї Методики (крім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населених пунктів, що не зазначені у додатку 4 до цієї Методики, а також земельних ділянок за межами населених пунктів, коефіцієнт, який враховує курортно-рекреаційне значення населених пунктів (Км2), застосовується із значенням 1,0.</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 xml:space="preserve">8. Коефіцієнт, який враховує розташування громади в межах зон радіаційного забруднення (Км3), приймається відповідно до додатку 5 до цієї Методики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Території сільських, селищних, міських рад (в тому числі тих, де припинена діяльність місцевих рад) або об’єднаних територіальних громад, що входять до зони відчуження, зони безумовного (обов’язкового) відселення, зони гарантованого добровільного відселення та зони посиленого радіоекологічного контролю, визначаються відповідно до постанови Кабінету Міністрів Української РСР від 23 липня 1991 року № 106 «Про організацію виконання постанов Верховної Ради Української РСР про </w:t>
      </w:r>
      <w:r w:rsidRPr="0089477A">
        <w:rPr>
          <w:rFonts w:ascii="Times New Roman" w:eastAsia="Times New Roman" w:hAnsi="Times New Roman" w:cs="Times New Roman"/>
          <w:color w:val="000000"/>
          <w:sz w:val="28"/>
          <w:szCs w:val="28"/>
        </w:rPr>
        <w:lastRenderedPageBreak/>
        <w:t>порядок введення в дію законів Української РСР «Про правовий режим території, що зазнала радіоактивного забруднення внаслідок Чорнобильської катастрофи» та «Про статус і соціальний захист громадян, які постраждали внаслідок Чорнобильської катастрофи». Для територій громад, що не входять до зон радіаційного забруднення, та земель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характеризує розташування громади в межах зон радіаційного забруднення (Км3), застосовується із значенням 1,0.</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9. Коефіцієнт, який характеризує зональні фактори місцеположення земельної ділянки (Км4),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диференціюється за оціночними районами.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Вся територія, що перебуває в межах юрисдикції сільської, селищної, міської ради, або території об’єднаної територіальної громади поділяється на оціночні райони, що мають переважно однотипні функціонально-планувальні якості та обмежені природними (морське узбережжя, річки, канали, струмки, балки, рівчаки тощо), антропогенними (дороги, вулиці та провулки, сельбищні, шляхові споруди, лісосмуги, канали, історико-культурні, промислові, рекреаційні масиви тощо), адміністративними (межі територій сіл, селищ, міст, сільських, селищних, міських рад, об’єднаних територіальних громад) та іншими (межі кадастрових кварталів тощо) межами та рубежами. При виділенні меж оціночних районів можуть використовуватися матеріали опорних планів генеральних планів населених пунктів (за наявності).</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Оціночні районі виділяються як замкнені полігони, межі яких не перетинаються. Межі оціночних районів не можуть перетинати межі сіл, селищ, міст, сільських, селищних, міських рад, об’єднаних територіальних громад. Підлягають виділенню у окремі оціночні райони: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смуги відведення магістральної залізниці (за винятком вокзалів та привокзальних площ);</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землі під відкритими розробками, кар'єрами, шахтами  та  відповідними спорудами;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смуги відведення магістральних нафто-, газо- та продуктопроводів;</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смуги відведення ліній електропередачі напругою 220 кВ і вище.</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Площа оціночного району не може перевищувати 1000 га.</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lastRenderedPageBreak/>
        <w:t>10. Коефіцієнт, який характеризує зональні фактори місцеположення земельної ділянки (Км4), диференціюється за оціночними районами, які встановлюються на основі економічної оцінки території, з урахуванням таких груп факторів:</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неоднорідність функціонально-планувальних якостей території;</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доступність до центру населеного пункту, місць концентрації трудової діяльності, центрів громадського обслуговування, масового відпочинку;</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рівень інженерного забезпечення та благоустрою території (наявність і можливість підключення об’єктів нерухомості до мереж водо-, електро-, газо-, теплопостачання та водовідведення);</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рівень розвитку сфери обслуговування населення (доступність основних закладів соціальної інфраструктури (школи, дитячі дошкільні заклади, лікарні, поліклінічні заклади, інші об'єкти соціальної інфраструктури);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екологічна якість території (рівень забруднення повітря, ґрунтів, акустичне та електромагнітне забруднення, площа санітарно-захисних зон, а також площа зелених насаджень загального користування, водних акваторій і місць відпочинку);</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складність фізико-географічних та геоморфологічних умов (наявність ярів, крутосхилів, підтоплення тощо);</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привабливість середовища (різноманітність місць докладання праці, наявність історико-культурних та природних пам'яток тощо).</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Для кожної групи факторів оцінки встановлюється ваговий коефіцієнт, значення якого залежить від географічних та містобудівних особливостей території сільської, селищної, міської ради, або території об’єднаної територіальної громади, як об'єкту проведення оцінки. Сума вагових коефіцієнтів групи факторів оцінки дорівнює 1,0.</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Коефіцієнт, який характеризує зональні фактори місцеположення земельної ділянки (Км4) визначається за результатами геоінформаційного моделювання. Для сільських, селищних, міських рад та об’єднаних територіальних громад із чисельністю населення менше 50 тис. осіб коефіцієнт, який характеризує зональні фактори місцеположення земельної ділянки (Км4), може визначатися для кожного оціночного району за результатами бальної оцінки за критеріями економічної цінності, що наведені у додатку 6 до цієї Методики. Значення коефіцієнту, який характеризує зональні фактори місцеположення земельної ділянки (Км4), для оціночного району розраховується як відношення суми бальних оцінок цього оціночного району до середньої суми бальних оцінок оціночних районів громади.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 xml:space="preserve">Для оціночних районів, що сформовані в межах смуг відведення магістральної залізниці (за винятком вокзалів та привокзальних площ), смуг відведення магістральних нафто-, газо- та продуктопроводів, смуг відведення ліній електропередачі напругою 220 кВ і вище, коефіцієнт, який характеризує </w:t>
      </w:r>
      <w:r w:rsidRPr="0089477A">
        <w:rPr>
          <w:rFonts w:ascii="Times New Roman" w:eastAsia="Times New Roman" w:hAnsi="Times New Roman" w:cs="Times New Roman"/>
          <w:color w:val="000000"/>
          <w:sz w:val="28"/>
          <w:szCs w:val="28"/>
        </w:rPr>
        <w:lastRenderedPageBreak/>
        <w:t>зональні фактори місцеположення земельної ділянки (Км4), приймається рівним 1,0.</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У разі, якщо розрахункове значення коефіцієнту, який характеризує зональні фактори місцеположення земельної ділянки (Км4), для оціночного району перевищує граничні максимальні значення</w:t>
      </w:r>
      <w:r w:rsidR="004B33BA">
        <w:rPr>
          <w:rFonts w:ascii="Times New Roman" w:eastAsia="Times New Roman" w:hAnsi="Times New Roman" w:cs="Times New Roman"/>
          <w:color w:val="000000"/>
          <w:sz w:val="28"/>
          <w:szCs w:val="28"/>
        </w:rPr>
        <w:t>, наведені у додатку 7 до цієї М</w:t>
      </w:r>
      <w:r w:rsidRPr="0089477A">
        <w:rPr>
          <w:rFonts w:ascii="Times New Roman" w:eastAsia="Times New Roman" w:hAnsi="Times New Roman" w:cs="Times New Roman"/>
          <w:color w:val="000000"/>
          <w:sz w:val="28"/>
          <w:szCs w:val="28"/>
        </w:rPr>
        <w:t>етодики, приймається відповідне граничне максимальне значення.</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Розрахункове значення коефіцієнта, який характеризує зональні фактори місцеположення земельної ділянки (Км4), округляється до третього знаку після коми.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характеризує зональні фактори місцеположення земельної ділянки (Км4), застосовується із значенням 1,0.</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strike/>
          <w:color w:val="000000"/>
          <w:sz w:val="28"/>
          <w:szCs w:val="28"/>
        </w:rPr>
      </w:pPr>
      <w:r w:rsidRPr="0089477A">
        <w:rPr>
          <w:rFonts w:ascii="Times New Roman" w:eastAsia="Times New Roman" w:hAnsi="Times New Roman" w:cs="Times New Roman"/>
          <w:color w:val="000000"/>
          <w:sz w:val="28"/>
          <w:szCs w:val="28"/>
        </w:rPr>
        <w:t>11. Коефіцієнт, який враховує цільове призначення земельної ділянки (Кцп), приймається відповідно до додатку 8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12. Коефіцієнт, який враховує особливості використання земельної ділянки в межах категорії земель за основним цільовим призначенням (Кмц), для сільськогосподарських угідь на землях сільськогосподарського призначення (рілля, перелоги, багаторічні насадження, сіножаті, пасовища) визначається за формулою:</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center"/>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Кмц = Кпсгр х Багр : Бпсгр,</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bookmarkStart w:id="0" w:name="_30j0zll" w:colFirst="0" w:colLast="0"/>
      <w:bookmarkEnd w:id="0"/>
      <w:r w:rsidRPr="0089477A">
        <w:rPr>
          <w:rFonts w:ascii="Times New Roman" w:eastAsia="Times New Roman" w:hAnsi="Times New Roman" w:cs="Times New Roman"/>
          <w:color w:val="000000"/>
          <w:sz w:val="28"/>
          <w:szCs w:val="28"/>
        </w:rPr>
        <w:t>де Кпсгр – коефіцієнт, який враховує розташування громади в межах природно-сільськогосподарського району, для відповідного угіддя та приймається відповідно до додатку 9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Багр – бал бонітету агровиробничої групи ґрунтів відповідного сільськогосподарського угіддя природно-сільськогосподарського району;</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Бпсгр – середній бал бонітету ґрунтів відповідного сільськогосподарського угіддя природно-сільськогосподарського району, що приймається відповідно до додатку 9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 xml:space="preserve">У разі, якщо агровиробничі групи ґрунтів сільськогосподарських угідь та/або їх бал бонітету на земельній ділянці сільськогосподарського призначення не визначено, коефіцієнт, який враховує особливості використання земельної ділянки в межах категорії земель за основним </w:t>
      </w:r>
      <w:r w:rsidRPr="0089477A">
        <w:rPr>
          <w:rFonts w:ascii="Times New Roman" w:eastAsia="Times New Roman" w:hAnsi="Times New Roman" w:cs="Times New Roman"/>
          <w:color w:val="000000"/>
          <w:sz w:val="28"/>
          <w:szCs w:val="28"/>
        </w:rPr>
        <w:lastRenderedPageBreak/>
        <w:t>цільовим призначенням (Кмц), для сільськогосподарських угідь на землях сільськогосподарського призначення застосовується із значенням коефіцієнту, який враховує розташування громади в межах природно-сільськогосподарського району (Кпсгр), для відповідного сільськогосподарського угіддя та приймається відповідно до додатку 9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Коефіцієнт, який враховує особливості використання земельної ділянки в межах категорії земель за основним цільовим призначенням (Кмц), для несільськогосподарських угідь на землях сільськогосподарського призначення застосовується із значенням коефіцієнту, який враховує розташування громади в межах природно-сільськогосподарського району (Кпсгр), для несільськогосподарських угідь та приймається відповідно до додатку 9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Схеми (карти) природно-сільськогосподарського районування земель та картограми розповсюдження агровиробничих груп ґрунтів приймаються відповідно до затвердженої в установленому порядку технічної документації із загальнонаціональної (всеукраїнської) нормативної грошової оцінки земель сільськогосподарського призначення, що була розроблена на виконання постанови Кабінету Міністрів України від 7 лютого 2018 року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Для сільськогосподарських угідь, на які відсутні картограми розповсюдження агровиробничих груп ґрунтів, при потребі може здійснюватися визначення агровиробничих груп ґрунтів шляхом проведення ґрунтових обстежень.</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13. 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додатків 10 та 11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14. Коефіцієнт, 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 та земель історико-культурного призначення приймається відповідно до додатку 12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 xml:space="preserve">15. Коефіцієнт, який враховує особливості використання земельної ділянки в межах категорії земель за основним цільовим призначенням (Кмц), для земель природно-заповідного фонду та іншого природоохоронного </w:t>
      </w:r>
      <w:r w:rsidRPr="0089477A">
        <w:rPr>
          <w:rFonts w:ascii="Times New Roman" w:eastAsia="Times New Roman" w:hAnsi="Times New Roman" w:cs="Times New Roman"/>
          <w:color w:val="000000"/>
          <w:sz w:val="28"/>
          <w:szCs w:val="28"/>
        </w:rPr>
        <w:lastRenderedPageBreak/>
        <w:t>призначення приймається для земельних ділянок для збереження та використання біосферних заповідників (код КВЦПЗ 04.01), для збереження та використання природних заповідників (код КВЦПЗ 04.02) та для збереження та використання національних природних парків (код КВЦПЗ 04.03) приймається рівним 3,9, а для інших земельних ділянок природно-заповідного фонду та іншого природоохоронного призначення – рівним 3,3.</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16. Коефіцієнт, який враховує особливості використання земельної ділянки в межах категорії земель за основним цільовим призначенням (Кмц), для земель лісогосподарського призначення визначається за формулою:</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center"/>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Кмц = Клк х Клс,</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де Клк – коефіцієнт, який враховує категорію лісів, та приймається відповідно до додатку 13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Клс – коефіцієнт, який враховує фактичну лісистість території, та приймається відповідно до додатку 14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17. Коефіцієнт, який враховує особливості використання земельної ділянки в межах категорії земель за основним цільовим призначенням (Кмц), для земель водного фонду приймається для земельних ділянок із водними об’єктами загальнодержавного значення – 1,2, для інших земельних ділянок – 1,0.</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18. У разі застосування відповідно до законодавства нормативної грошової оцінки одиниці площі ріллі по Автономній Республіці Крим або по області, нормативна грошова оцінка одиниці площі ріллі по Автономній Республіці Крим або по області приймається згідно з додатком 15</w:t>
      </w:r>
      <w:r w:rsidR="003C41FD" w:rsidRPr="003C41FD">
        <w:rPr>
          <w:rFonts w:ascii="Times New Roman" w:eastAsia="Times New Roman" w:hAnsi="Times New Roman" w:cs="Times New Roman"/>
          <w:color w:val="000000"/>
          <w:sz w:val="28"/>
          <w:szCs w:val="28"/>
        </w:rPr>
        <w:t xml:space="preserve"> до </w:t>
      </w:r>
      <w:r w:rsidR="003C41FD">
        <w:rPr>
          <w:rFonts w:ascii="Times New Roman" w:eastAsia="Times New Roman" w:hAnsi="Times New Roman" w:cs="Times New Roman"/>
          <w:color w:val="000000"/>
          <w:sz w:val="28"/>
          <w:szCs w:val="28"/>
        </w:rPr>
        <w:t>цієї Методики</w:t>
      </w:r>
      <w:r w:rsidRPr="0089477A">
        <w:rPr>
          <w:rFonts w:ascii="Times New Roman" w:eastAsia="Times New Roman" w:hAnsi="Times New Roman" w:cs="Times New Roman"/>
          <w:color w:val="000000"/>
          <w:sz w:val="28"/>
          <w:szCs w:val="28"/>
        </w:rPr>
        <w:t>.</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19. За результатами проведення нормативної грошової оцінки земельних ділянок складається технічна документація з нормативної грошової оцінки земельних ділянок. Датою нормативної грошової оцінки земельної ділянки є дата, вказана в технічній документації.</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 xml:space="preserve">До затвердження технічної документації з нормативної грошової оцінки земельних ділянок в межах територіальної громади, для визначення нормативної грошової оцінки окремої земельної ділянки за межами населених пунктів може складатися технічна документація з нормативної грошової оцінки земельної ділянки на підставі договору, який укладається заінтересованими особами. Значення коефіцієнту, який характеризує </w:t>
      </w:r>
      <w:r w:rsidRPr="0089477A">
        <w:rPr>
          <w:rFonts w:ascii="Times New Roman" w:eastAsia="Times New Roman" w:hAnsi="Times New Roman" w:cs="Times New Roman"/>
          <w:color w:val="000000"/>
          <w:sz w:val="28"/>
          <w:szCs w:val="28"/>
        </w:rPr>
        <w:lastRenderedPageBreak/>
        <w:t>зональні фактори місцеположення земельної ділянки (Км4), у такій документації приймається рівним 1,0.</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Технічна документація з нормативної грошової оцінки земельних ділянок включає:</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рішення про проведення нормативної грошової оцінки земельних ділянок;</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завдання на виконання робіт;</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пояснювальну записку, що містить відомості про місце розташування громади, чисельність населення громади, її адміністративного центра та інших населених пунктів, обґрунтування оціночного зонування території громади та визначення коефіцієнту, який характеризує зональні фактори місцеположення земельної ділянки (Км4);</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відомості про величину нормативів капіталізованого рентного доходу;</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схему оціночних районів;</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таблицю із зазначенням для кожного оціночного району коефіцієнту, який враховує розташування громади в межах зони впливу великих міст (Км1), коефіцієнту, який враховує курортно-рекреаційне значення населених пунктів (Км2), коефіцієнту, який враховує 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схему природно-сільськогосподарських районів на територію громади;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картограму агровиробничих груп ґрунтів на територію громади;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таблицю із зазначенням переліку агровиробничих груп ґрунтів та їх балів бонітету за сільськогосподарськими угіддями;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таблицю із зазначенням коефіцієнтів, які враховують цільове призначення земельної ділянки (Кцп);</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(Кмц);</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(Кні).</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У разі визначення нормативної грошової оцінки окремої земельної ділянки за межами населених пунктів технічна документація з нормативної грошової оцінки земельної ділянки включає:</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завдання на виконання робіт;</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пояснювальну записку, що містить відомості про місце розташування громади, чисельність населення громади, її адміністративного центра та інших населених пунктів;</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відомості про величину нормативу капіталізованого рентного доходу;</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 xml:space="preserve">таблицю із зазначенням коефіцієнту, який враховує розташування громади в межах зони впливу великих міст (Км1), коефіцієнту, який враховує </w:t>
      </w:r>
      <w:r w:rsidRPr="0089477A">
        <w:rPr>
          <w:rFonts w:ascii="Times New Roman" w:eastAsia="Times New Roman" w:hAnsi="Times New Roman" w:cs="Times New Roman"/>
          <w:color w:val="000000"/>
          <w:sz w:val="28"/>
          <w:szCs w:val="28"/>
        </w:rPr>
        <w:lastRenderedPageBreak/>
        <w:t>курортно-рекреаційне значення населених пунктів (Км2), коефіцієнту, який враховує 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відомості про приналежність земельної ділянки до природно-сільськогосподарського району (для земельних ділянок сільськогосподарського призначення);</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картограму агровиробничих груп ґрунтів в межах земельної ділянки (для земельних ділянок сільськогосподарського призначення за наявності відомостей про агровиробничі групи ґрунтів);</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таблицю із зазначенням переліку агровиробничих груп ґрунтів та їх балів бонітету за сільськогосподарськими угіддями (для земельних ділянок сільськогосподарського призначення за наявності відомостей про агровиробничі групи ґрунтів);</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відомості про величину коефіцієнта, який враховує цільове призначення земельної ділянки (Кцп);</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відомості про величину коефіцієнта, який враховує особливості використання земельної ділянки в межах категорії земель за основним цільовим призначенням (Кмц);</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(Кні);</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розрахунок нормативної грошової оцінки земельної ділянки.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З метою внесення до Державного земельного кадастру відомостей про нормативну грошову оцінку земельних ділянок складається електронний документ відповідно до вимог Порядку ведення Державного земельного кадастру, затвердженого постановою Кабінету Міністрів України від 17 жовтня 2012 року № 1051.</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20. Затвердження технічної документації з нормативної грошової оцінки земельних ділянок в межах зони відчуження, а також зони безумовного (обов'язкового) відселення території, що зазнала радіоактивного забруднення внаслідок Чорнобильської катастрофи, після припинення діяльності місцевих рад здійснюється центральний орган виконавчої влади, що реалізує державну політику у сфері управління зоною відчуження та зоною безумовного (обов'язкового) відселення.</w:t>
      </w:r>
    </w:p>
    <w:p w:rsidR="0089477A" w:rsidRP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21. Дані про нормативну грошову оцінку окремої земельної ділянки оформлюються за заявою за формою згідно з додатком 16 до цієї Методики як витяг із технічної документації з нормативної грошової оцінки земельних ділянок за формою згідно з додатком 17 до цієї Методики.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lastRenderedPageBreak/>
        <w:t>У разі розташування земельних ділянок в межах декількох оціночних районів та/або адміністративно-територіальних одиниць та/або категорій лісів, нормативна грошова оцінка таких земельних ділянок визначається як сума нормативних грошових оцінок їх частин, що розташовані у відповідних землеоціночних районах та/або адміністративно-територіальних одиницях та/або категоріях лісів.</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Витяг із технічної документації з нормативної грошової оцінки земельних ділянок оформляється і видається протягом трьох робочих днів з дати надходження відповідної заяви.</w:t>
      </w:r>
    </w:p>
    <w:p w:rsidR="0089477A" w:rsidRPr="0089477A" w:rsidRDefault="0089477A" w:rsidP="0089477A">
      <w:pPr>
        <w:jc w:val="both"/>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У разі подання заяви в електронній формі витяг з технічної документації про нормативну грошову оцінку земельної ділянки або мотивована відмова у наданні такого витягу видаються в електронній формі технічними засобами телекомунікацій з накладенням кваліфікованого електронного підпису, а за бажанням заявника можуть також надаватися у паперовому вигляді.</w:t>
      </w:r>
    </w:p>
    <w:p w:rsidR="0089477A" w:rsidRDefault="0089477A" w:rsidP="0089477A">
      <w:pPr>
        <w:jc w:val="both"/>
        <w:rPr>
          <w:rFonts w:ascii="Times New Roman" w:eastAsia="Times New Roman" w:hAnsi="Times New Roman" w:cs="Times New Roman"/>
          <w:color w:val="000000"/>
          <w:sz w:val="28"/>
          <w:szCs w:val="28"/>
        </w:rPr>
      </w:pPr>
    </w:p>
    <w:p w:rsidR="0089477A" w:rsidRPr="0089477A" w:rsidRDefault="0089477A" w:rsidP="0089477A">
      <w:pPr>
        <w:jc w:val="both"/>
        <w:rPr>
          <w:rFonts w:ascii="Times New Roman" w:eastAsia="Times New Roman" w:hAnsi="Times New Roman" w:cs="Times New Roman"/>
          <w:color w:val="000000"/>
          <w:sz w:val="28"/>
          <w:szCs w:val="28"/>
        </w:rPr>
      </w:pPr>
    </w:p>
    <w:p w:rsidR="0089477A" w:rsidRDefault="0089477A" w:rsidP="0089477A">
      <w:pPr>
        <w:jc w:val="center"/>
        <w:rPr>
          <w:rFonts w:ascii="Times New Roman" w:eastAsia="Times New Roman" w:hAnsi="Times New Roman" w:cs="Times New Roman"/>
          <w:color w:val="000000"/>
          <w:sz w:val="28"/>
          <w:szCs w:val="28"/>
        </w:rPr>
      </w:pPr>
      <w:r w:rsidRPr="0089477A">
        <w:rPr>
          <w:rFonts w:ascii="Times New Roman" w:eastAsia="Times New Roman" w:hAnsi="Times New Roman" w:cs="Times New Roman"/>
          <w:color w:val="000000"/>
          <w:sz w:val="28"/>
          <w:szCs w:val="28"/>
        </w:rPr>
        <w:t>_________________________</w:t>
      </w:r>
      <w:bookmarkStart w:id="1" w:name="_GoBack"/>
      <w:bookmarkEnd w:id="1"/>
    </w:p>
    <w:sectPr w:rsidR="0089477A" w:rsidSect="006361B5">
      <w:headerReference w:type="default" r:id="rId6"/>
      <w:pgSz w:w="11906" w:h="16838"/>
      <w:pgMar w:top="1134" w:right="851" w:bottom="198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1F" w:rsidRDefault="00E82E1F" w:rsidP="000311FC">
      <w:r>
        <w:separator/>
      </w:r>
    </w:p>
  </w:endnote>
  <w:endnote w:type="continuationSeparator" w:id="1">
    <w:p w:rsidR="00E82E1F" w:rsidRDefault="00E82E1F" w:rsidP="00031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1F" w:rsidRDefault="00E82E1F" w:rsidP="000311FC">
      <w:r>
        <w:separator/>
      </w:r>
    </w:p>
  </w:footnote>
  <w:footnote w:type="continuationSeparator" w:id="1">
    <w:p w:rsidR="00E82E1F" w:rsidRDefault="00E82E1F" w:rsidP="00031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1726"/>
      <w:docPartObj>
        <w:docPartGallery w:val="Page Numbers (Top of Page)"/>
        <w:docPartUnique/>
      </w:docPartObj>
    </w:sdtPr>
    <w:sdtContent>
      <w:p w:rsidR="000311FC" w:rsidRDefault="003E3616">
        <w:pPr>
          <w:pStyle w:val="a3"/>
          <w:jc w:val="center"/>
        </w:pPr>
        <w:fldSimple w:instr=" PAGE   \* MERGEFORMAT ">
          <w:r w:rsidR="006361B5">
            <w:rPr>
              <w:noProof/>
            </w:rPr>
            <w:t>10</w:t>
          </w:r>
        </w:fldSimple>
      </w:p>
    </w:sdtContent>
  </w:sdt>
  <w:p w:rsidR="000311FC" w:rsidRDefault="000311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477A"/>
    <w:rsid w:val="000311FC"/>
    <w:rsid w:val="003A137C"/>
    <w:rsid w:val="003C41FD"/>
    <w:rsid w:val="003E3616"/>
    <w:rsid w:val="004B33BA"/>
    <w:rsid w:val="006361B5"/>
    <w:rsid w:val="00684D70"/>
    <w:rsid w:val="007D6921"/>
    <w:rsid w:val="0089477A"/>
    <w:rsid w:val="009E08C3"/>
    <w:rsid w:val="00AF2B56"/>
    <w:rsid w:val="00B36003"/>
    <w:rsid w:val="00C41E56"/>
    <w:rsid w:val="00E82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477A"/>
    <w:pPr>
      <w:spacing w:after="0" w:line="240" w:lineRule="auto"/>
      <w:ind w:firstLine="709"/>
    </w:pPr>
    <w:rPr>
      <w:rFonts w:ascii="Calibri" w:eastAsia="Calibri" w:hAnsi="Calibri" w:cs="Calibri"/>
      <w:sz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FC"/>
    <w:pPr>
      <w:tabs>
        <w:tab w:val="center" w:pos="4677"/>
        <w:tab w:val="right" w:pos="9355"/>
      </w:tabs>
    </w:pPr>
  </w:style>
  <w:style w:type="character" w:customStyle="1" w:styleId="a4">
    <w:name w:val="Верхний колонтитул Знак"/>
    <w:basedOn w:val="a0"/>
    <w:link w:val="a3"/>
    <w:uiPriority w:val="99"/>
    <w:rsid w:val="000311FC"/>
    <w:rPr>
      <w:rFonts w:ascii="Calibri" w:eastAsia="Calibri" w:hAnsi="Calibri" w:cs="Calibri"/>
      <w:sz w:val="22"/>
      <w:lang w:val="uk-UA" w:eastAsia="ru-RU"/>
    </w:rPr>
  </w:style>
  <w:style w:type="paragraph" w:styleId="a5">
    <w:name w:val="footer"/>
    <w:basedOn w:val="a"/>
    <w:link w:val="a6"/>
    <w:uiPriority w:val="99"/>
    <w:semiHidden/>
    <w:unhideWhenUsed/>
    <w:rsid w:val="000311FC"/>
    <w:pPr>
      <w:tabs>
        <w:tab w:val="center" w:pos="4677"/>
        <w:tab w:val="right" w:pos="9355"/>
      </w:tabs>
    </w:pPr>
  </w:style>
  <w:style w:type="character" w:customStyle="1" w:styleId="a6">
    <w:name w:val="Нижний колонтитул Знак"/>
    <w:basedOn w:val="a0"/>
    <w:link w:val="a5"/>
    <w:uiPriority w:val="99"/>
    <w:semiHidden/>
    <w:rsid w:val="000311FC"/>
    <w:rPr>
      <w:rFonts w:ascii="Calibri" w:eastAsia="Calibri" w:hAnsi="Calibri" w:cs="Calibri"/>
      <w:sz w:val="22"/>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3583</Words>
  <Characters>20425</Characters>
  <Application>Microsoft Office Word</Application>
  <DocSecurity>0</DocSecurity>
  <Lines>170</Lines>
  <Paragraphs>47</Paragraphs>
  <ScaleCrop>false</ScaleCrop>
  <Company>HP</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Прокопенко</dc:creator>
  <cp:lastModifiedBy>Home</cp:lastModifiedBy>
  <cp:revision>7</cp:revision>
  <dcterms:created xsi:type="dcterms:W3CDTF">2020-10-20T13:37:00Z</dcterms:created>
  <dcterms:modified xsi:type="dcterms:W3CDTF">2020-10-23T08:48:00Z</dcterms:modified>
</cp:coreProperties>
</file>