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A" w:rsidRDefault="00066FEA" w:rsidP="001E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E4713" w:rsidRPr="002006F8" w:rsidRDefault="001E4713" w:rsidP="00FA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ПОЯСНЮВАЛЬНА ЗАПИСКА </w:t>
      </w:r>
      <w:r w:rsidRPr="001E4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E17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Закону України </w:t>
      </w:r>
      <w:r w:rsidR="00FA3D6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17978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bookmarkStart w:id="0" w:name="_GoBack"/>
      <w:bookmarkEnd w:id="0"/>
      <w:r w:rsidR="009A5A13">
        <w:rPr>
          <w:rFonts w:ascii="Times New Roman" w:hAnsi="Times New Roman" w:cs="Times New Roman"/>
          <w:b/>
          <w:sz w:val="28"/>
          <w:szCs w:val="28"/>
        </w:rPr>
        <w:t>Про внесення</w:t>
      </w:r>
      <w:r w:rsidR="00207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5A13">
        <w:rPr>
          <w:rFonts w:ascii="Times New Roman" w:hAnsi="Times New Roman" w:cs="Times New Roman"/>
          <w:b/>
          <w:sz w:val="28"/>
          <w:szCs w:val="28"/>
        </w:rPr>
        <w:t>змін до деяких</w:t>
      </w:r>
      <w:r w:rsidR="009F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5A13">
        <w:rPr>
          <w:rFonts w:ascii="Times New Roman" w:hAnsi="Times New Roman" w:cs="Times New Roman"/>
          <w:b/>
          <w:sz w:val="28"/>
          <w:szCs w:val="28"/>
        </w:rPr>
        <w:t>законодавчих</w:t>
      </w:r>
      <w:r w:rsidR="009F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5A13">
        <w:rPr>
          <w:rFonts w:ascii="Times New Roman" w:hAnsi="Times New Roman" w:cs="Times New Roman"/>
          <w:b/>
          <w:sz w:val="28"/>
          <w:szCs w:val="28"/>
        </w:rPr>
        <w:t>актів</w:t>
      </w:r>
      <w:r w:rsidR="009F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5A13">
        <w:rPr>
          <w:rFonts w:ascii="Times New Roman" w:hAnsi="Times New Roman" w:cs="Times New Roman"/>
          <w:b/>
          <w:sz w:val="28"/>
          <w:szCs w:val="28"/>
        </w:rPr>
        <w:t>України</w:t>
      </w:r>
      <w:r w:rsidRPr="00E1797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1E4713" w:rsidRPr="00E17978" w:rsidRDefault="001E4713" w:rsidP="001E47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n1702"/>
      <w:bookmarkEnd w:id="1"/>
    </w:p>
    <w:p w:rsidR="001E4713" w:rsidRP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 Резюме</w:t>
      </w:r>
    </w:p>
    <w:p w:rsidR="00076DE5" w:rsidRPr="003E075C" w:rsidRDefault="001E4713" w:rsidP="00B708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проекту Закону</w:t>
      </w:r>
      <w:r w:rsidR="00076DE5" w:rsidRPr="003E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076DE5" w:rsidRPr="003E075C" w:rsidRDefault="001C4316" w:rsidP="00B708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7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6DE5" w:rsidRPr="003E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зберегти обмеження </w:t>
      </w:r>
      <w:r w:rsidR="00076DE5" w:rsidRPr="003E075C">
        <w:rPr>
          <w:rFonts w:ascii="Times New Roman" w:hAnsi="Times New Roman" w:cs="Times New Roman"/>
          <w:sz w:val="28"/>
          <w:szCs w:val="28"/>
          <w:lang w:val="uk-UA"/>
        </w:rPr>
        <w:t>перевірок суб’єктів мікро- та малого підприємництва, які застосовують спрощену систему оподаткування, обліку та звітності</w:t>
      </w:r>
      <w:r w:rsidRPr="003E07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4CFE" w:rsidRDefault="00284619" w:rsidP="00B708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75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033A1" w:rsidRPr="003E075C">
        <w:rPr>
          <w:rFonts w:ascii="Times New Roman" w:hAnsi="Times New Roman" w:cs="Times New Roman"/>
          <w:sz w:val="28"/>
          <w:szCs w:val="28"/>
          <w:lang w:val="uk-UA"/>
        </w:rPr>
        <w:t>запровадити обмеження перевірок суб’єктів мікро- та малого підприємництва</w:t>
      </w:r>
      <w:r w:rsidR="00BB3401" w:rsidRPr="003E075C">
        <w:rPr>
          <w:rFonts w:ascii="Times New Roman" w:hAnsi="Times New Roman" w:cs="Times New Roman"/>
          <w:sz w:val="28"/>
          <w:szCs w:val="28"/>
          <w:lang w:val="uk-UA"/>
        </w:rPr>
        <w:t xml:space="preserve"> строк господарської діяльності яких не перевищує трьох років</w:t>
      </w:r>
      <w:r w:rsidR="009033A1" w:rsidRPr="003E075C">
        <w:rPr>
          <w:rFonts w:ascii="Times New Roman" w:hAnsi="Times New Roman" w:cs="Times New Roman"/>
          <w:sz w:val="28"/>
          <w:szCs w:val="28"/>
          <w:lang w:val="uk-UA"/>
        </w:rPr>
        <w:t>, які не застосовують спрощену систему опо</w:t>
      </w:r>
      <w:r w:rsidR="00D91475" w:rsidRPr="003E075C">
        <w:rPr>
          <w:rFonts w:ascii="Times New Roman" w:hAnsi="Times New Roman" w:cs="Times New Roman"/>
          <w:sz w:val="28"/>
          <w:szCs w:val="28"/>
          <w:lang w:val="uk-UA"/>
        </w:rPr>
        <w:t>даткування, обліку та звітності</w:t>
      </w:r>
      <w:r w:rsidR="00E06D84" w:rsidRPr="003E07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88D" w:rsidRDefault="00B7088D" w:rsidP="003B15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066FEA" w:rsidRDefault="00066FEA" w:rsidP="003B15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 Проблема, яка потребує розв’язання</w:t>
      </w:r>
    </w:p>
    <w:p w:rsidR="00CE038D" w:rsidRDefault="00CE038D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C44">
        <w:rPr>
          <w:rFonts w:ascii="Times New Roman" w:hAnsi="Times New Roman" w:cs="Times New Roman"/>
          <w:sz w:val="28"/>
          <w:szCs w:val="28"/>
          <w:lang w:val="uk-UA"/>
        </w:rPr>
        <w:t>Частиною тр</w:t>
      </w:r>
      <w:r w:rsidR="001E7226">
        <w:rPr>
          <w:rFonts w:ascii="Times New Roman" w:hAnsi="Times New Roman" w:cs="Times New Roman"/>
          <w:sz w:val="28"/>
          <w:szCs w:val="28"/>
          <w:lang w:val="uk-UA"/>
        </w:rPr>
        <w:t>етьою статті 3 Закону України “</w:t>
      </w:r>
      <w:r w:rsidRPr="00C44C44">
        <w:rPr>
          <w:rFonts w:ascii="Times New Roman" w:hAnsi="Times New Roman" w:cs="Times New Roman"/>
          <w:sz w:val="28"/>
          <w:szCs w:val="28"/>
          <w:lang w:val="uk-UA"/>
        </w:rPr>
        <w:t xml:space="preserve">Про особливості здійснення державного нагляду (контролю) у сфері господарської діяльності </w:t>
      </w:r>
      <w:r w:rsidRPr="00CE038D">
        <w:rPr>
          <w:rFonts w:ascii="Times New Roman" w:hAnsi="Times New Roman" w:cs="Times New Roman"/>
          <w:sz w:val="28"/>
          <w:szCs w:val="28"/>
          <w:lang w:val="uk-UA"/>
        </w:rPr>
        <w:t xml:space="preserve">щодо фізичних осіб - підприємців та юридичних осіб, </w:t>
      </w:r>
      <w:r w:rsidRPr="003D427D">
        <w:rPr>
          <w:rFonts w:ascii="Times New Roman" w:hAnsi="Times New Roman" w:cs="Times New Roman"/>
          <w:i/>
          <w:sz w:val="28"/>
          <w:szCs w:val="28"/>
          <w:lang w:val="uk-UA"/>
        </w:rPr>
        <w:t>які застосовують спрощену систему оподаткування</w:t>
      </w:r>
      <w:r w:rsidRPr="00CE038D">
        <w:rPr>
          <w:rFonts w:ascii="Times New Roman" w:hAnsi="Times New Roman" w:cs="Times New Roman"/>
          <w:sz w:val="28"/>
          <w:szCs w:val="28"/>
          <w:lang w:val="uk-UA"/>
        </w:rPr>
        <w:t>, обліку та звітності”</w:t>
      </w:r>
      <w:r w:rsidR="00E34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44D">
        <w:rPr>
          <w:rFonts w:ascii="Times New Roman" w:hAnsi="Times New Roman" w:cs="Times New Roman"/>
          <w:sz w:val="28"/>
          <w:szCs w:val="28"/>
          <w:lang w:val="uk-UA"/>
        </w:rPr>
        <w:t xml:space="preserve">(далі – Закон) </w:t>
      </w:r>
      <w:r w:rsidR="00167437">
        <w:rPr>
          <w:rFonts w:ascii="Times New Roman" w:hAnsi="Times New Roman" w:cs="Times New Roman"/>
          <w:sz w:val="28"/>
          <w:szCs w:val="28"/>
          <w:lang w:val="uk-UA"/>
        </w:rPr>
        <w:t>встановлено, що органам</w:t>
      </w:r>
      <w:r w:rsidRPr="00C44C4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нагляду (контролю), їх посадовим особам </w:t>
      </w:r>
      <w:r w:rsidRPr="00C2349A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</w:t>
      </w:r>
      <w:r w:rsidRPr="00C44C44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щодо фізичних осіб - підприємців та юридичних осіб</w:t>
      </w:r>
      <w:r w:rsidR="00284619" w:rsidRPr="00284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19" w:rsidRPr="00284619">
        <w:rPr>
          <w:rFonts w:ascii="Times New Roman" w:hAnsi="Times New Roman" w:cs="Times New Roman"/>
          <w:sz w:val="28"/>
          <w:szCs w:val="28"/>
          <w:lang w:val="uk-UA"/>
        </w:rPr>
        <w:t>які застосовують спрощену систему оподаткування</w:t>
      </w:r>
      <w:r w:rsidR="00284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2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619">
        <w:rPr>
          <w:rFonts w:ascii="Times New Roman" w:hAnsi="Times New Roman" w:cs="Times New Roman"/>
          <w:sz w:val="28"/>
          <w:szCs w:val="28"/>
          <w:lang w:val="uk-UA"/>
        </w:rPr>
        <w:t>заходи державного нагля</w:t>
      </w:r>
      <w:r w:rsidRPr="00C44C44">
        <w:rPr>
          <w:rFonts w:ascii="Times New Roman" w:hAnsi="Times New Roman" w:cs="Times New Roman"/>
          <w:sz w:val="28"/>
          <w:szCs w:val="28"/>
          <w:lang w:val="uk-UA"/>
        </w:rPr>
        <w:t>ду (контролю) у сфері господарської діяльності, не передбачені цим Законом.</w:t>
      </w:r>
    </w:p>
    <w:p w:rsidR="00933002" w:rsidRPr="006B5BC4" w:rsidRDefault="006B5BC4" w:rsidP="007349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E5444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3D49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0749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 w:rsidR="004E7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5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C1593" w:rsidRPr="00CE038D">
        <w:rPr>
          <w:rFonts w:ascii="Times New Roman" w:hAnsi="Times New Roman" w:cs="Times New Roman"/>
          <w:sz w:val="28"/>
          <w:szCs w:val="28"/>
          <w:lang w:val="uk-UA"/>
        </w:rPr>
        <w:t>фізичних осіб - підприємців та юридичних осіб</w:t>
      </w:r>
      <w:r w:rsidR="00EC15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7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46D" w:rsidRPr="008B579F">
        <w:rPr>
          <w:rFonts w:ascii="Times New Roman" w:hAnsi="Times New Roman" w:cs="Times New Roman"/>
          <w:sz w:val="28"/>
          <w:szCs w:val="28"/>
          <w:lang w:val="uk-UA"/>
        </w:rPr>
        <w:t>мікро- та малого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6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</w:t>
      </w:r>
      <w:r w:rsidR="00A074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r w:rsidRPr="00A56103">
        <w:rPr>
          <w:rFonts w:ascii="Times New Roman" w:hAnsi="Times New Roman" w:cs="Times New Roman"/>
          <w:i/>
          <w:sz w:val="28"/>
          <w:szCs w:val="28"/>
          <w:lang w:val="uk-UA"/>
        </w:rPr>
        <w:t>застосовують спрощену систему оподаткування, обліку та звітності</w:t>
      </w:r>
      <w:r w:rsidR="002250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444D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Закон не поширюється. А тому, </w:t>
      </w:r>
      <w:r w:rsidR="00A07491" w:rsidRPr="00D63ECE">
        <w:rPr>
          <w:rFonts w:ascii="Times New Roman" w:hAnsi="Times New Roman" w:cs="Times New Roman"/>
          <w:sz w:val="28"/>
          <w:szCs w:val="28"/>
          <w:lang w:val="uk-UA"/>
        </w:rPr>
        <w:t xml:space="preserve">органи державного нагляду (контролю), їх посадові особи </w:t>
      </w:r>
      <w:r w:rsidR="008205C5">
        <w:rPr>
          <w:rFonts w:ascii="Times New Roman" w:hAnsi="Times New Roman" w:cs="Times New Roman"/>
          <w:sz w:val="28"/>
          <w:szCs w:val="28"/>
          <w:lang w:val="uk-UA"/>
        </w:rPr>
        <w:t>продовжують здійснювати</w:t>
      </w:r>
      <w:r w:rsidR="00225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19">
        <w:rPr>
          <w:rFonts w:ascii="Times New Roman" w:hAnsi="Times New Roman" w:cs="Times New Roman"/>
          <w:sz w:val="28"/>
          <w:szCs w:val="28"/>
          <w:lang w:val="uk-UA"/>
        </w:rPr>
        <w:t xml:space="preserve">планові </w:t>
      </w:r>
      <w:r w:rsidR="00A07491" w:rsidRPr="00D63ECE">
        <w:rPr>
          <w:rFonts w:ascii="Times New Roman" w:hAnsi="Times New Roman" w:cs="Times New Roman"/>
          <w:sz w:val="28"/>
          <w:szCs w:val="28"/>
          <w:lang w:val="uk-UA"/>
        </w:rPr>
        <w:t>заходи державного нагляду (контролю)</w:t>
      </w:r>
      <w:r w:rsidR="00D63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713" w:rsidRP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713">
        <w:rPr>
          <w:rFonts w:ascii="Times New Roman" w:hAnsi="Times New Roman" w:cs="Times New Roman"/>
          <w:sz w:val="28"/>
          <w:szCs w:val="28"/>
          <w:lang w:val="uk-UA"/>
        </w:rPr>
        <w:t xml:space="preserve">З метою зменшення тиску на бізнес </w:t>
      </w:r>
      <w:r w:rsidR="001C4B9F">
        <w:rPr>
          <w:rFonts w:ascii="Times New Roman" w:hAnsi="Times New Roman" w:cs="Times New Roman"/>
          <w:sz w:val="28"/>
          <w:szCs w:val="28"/>
          <w:lang w:val="uk-UA"/>
        </w:rPr>
        <w:t xml:space="preserve">через встановлення </w:t>
      </w:r>
      <w:r w:rsidR="001C4B9F" w:rsidRPr="00A86DFA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</w:t>
      </w:r>
      <w:r w:rsidR="001C4B9F">
        <w:rPr>
          <w:rFonts w:ascii="Times New Roman" w:hAnsi="Times New Roman" w:cs="Times New Roman"/>
          <w:sz w:val="28"/>
          <w:szCs w:val="28"/>
          <w:lang w:val="uk-UA"/>
        </w:rPr>
        <w:t xml:space="preserve">органам </w:t>
      </w:r>
      <w:r w:rsidR="001C4B9F" w:rsidRPr="001B2278">
        <w:rPr>
          <w:rFonts w:ascii="Times New Roman" w:hAnsi="Times New Roman" w:cs="Times New Roman"/>
          <w:sz w:val="28"/>
          <w:szCs w:val="28"/>
          <w:lang w:val="uk-UA"/>
        </w:rPr>
        <w:t>державного нагляду (контролю)</w:t>
      </w:r>
      <w:r w:rsidR="000D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B9F" w:rsidRPr="00BC5FF8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1C4B9F">
        <w:rPr>
          <w:rFonts w:ascii="Times New Roman" w:hAnsi="Times New Roman" w:cs="Times New Roman"/>
          <w:sz w:val="28"/>
          <w:szCs w:val="28"/>
          <w:lang w:val="uk-UA"/>
        </w:rPr>
        <w:t xml:space="preserve"> планові перевірки протягом трьох років </w:t>
      </w:r>
      <w:r w:rsidR="00284619">
        <w:rPr>
          <w:rFonts w:ascii="Times New Roman" w:hAnsi="Times New Roman" w:cs="Times New Roman"/>
          <w:sz w:val="28"/>
          <w:szCs w:val="28"/>
          <w:lang w:val="uk-UA"/>
        </w:rPr>
        <w:t>після реєстрації</w:t>
      </w:r>
      <w:r w:rsidR="001C4B9F" w:rsidRPr="00A86DF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мікропідприємництва та малого підприємництва</w:t>
      </w:r>
      <w:r w:rsidR="001C4B9F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1C4B9F" w:rsidRPr="00C9624E">
        <w:rPr>
          <w:rFonts w:ascii="Times New Roman" w:hAnsi="Times New Roman" w:cs="Times New Roman"/>
          <w:sz w:val="28"/>
          <w:szCs w:val="28"/>
          <w:lang w:val="uk-UA"/>
        </w:rPr>
        <w:t>не застосовують спрощену систему оподаткування, обліку та звітності</w:t>
      </w:r>
      <w:r w:rsidR="00284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71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проект Закону України </w:t>
      </w:r>
      <w:r w:rsidR="00537FF2" w:rsidRPr="00537FF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7750F" w:rsidRPr="0007750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</w:t>
      </w:r>
      <w:r w:rsidR="001C4B9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D1F2E" w:rsidRPr="000775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066FEA" w:rsidRDefault="00066FEA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 Суть проекту акта</w:t>
      </w:r>
    </w:p>
    <w:p w:rsidR="00A85FEF" w:rsidRPr="00FA0071" w:rsidRDefault="001E4713" w:rsidP="00FA00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Проектом Закону передбачається </w:t>
      </w:r>
      <w:r w:rsidR="00A846B9">
        <w:rPr>
          <w:rFonts w:ascii="Times New Roman" w:hAnsi="Times New Roman" w:cs="Times New Roman"/>
          <w:sz w:val="28"/>
          <w:szCs w:val="28"/>
          <w:lang w:val="uk-UA"/>
        </w:rPr>
        <w:t>звільнити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 xml:space="preserve"> від планових перевірок суб’єктів мікро- та малого підприємництва</w:t>
      </w:r>
      <w:r w:rsidR="00A846B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A846B9" w:rsidRPr="00C9624E">
        <w:rPr>
          <w:rFonts w:ascii="Times New Roman" w:hAnsi="Times New Roman" w:cs="Times New Roman"/>
          <w:sz w:val="28"/>
          <w:szCs w:val="28"/>
          <w:lang w:val="uk-UA"/>
        </w:rPr>
        <w:t>не застосовують спрощену систему оподаткування, обліку та звітності</w:t>
      </w:r>
      <w:r w:rsidR="00284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 xml:space="preserve"> на три роки після їх відповідної реєстрації, крім перевірок діяльності суб’єктів господарювання, які відповідно до</w:t>
      </w:r>
      <w:r w:rsidR="0030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затверджених</w:t>
      </w:r>
      <w:r w:rsidR="0030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Кабінетом</w:t>
      </w:r>
      <w:r w:rsidR="0030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30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30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критеріїв оцінки ступеня</w:t>
      </w:r>
      <w:r w:rsidR="008C7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 xml:space="preserve">ризику </w:t>
      </w:r>
      <w:r w:rsidR="00311EFF">
        <w:rPr>
          <w:rFonts w:ascii="Times New Roman" w:hAnsi="Times New Roman" w:cs="Times New Roman"/>
          <w:sz w:val="28"/>
          <w:szCs w:val="28"/>
          <w:lang w:val="uk-UA"/>
        </w:rPr>
        <w:t xml:space="preserve">від провадження </w:t>
      </w:r>
      <w:r w:rsidR="00284619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ї діяльності віднесені до</w:t>
      </w:r>
      <w:r w:rsidR="00236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236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6B9" w:rsidRPr="008B579F">
        <w:rPr>
          <w:rFonts w:ascii="Times New Roman" w:hAnsi="Times New Roman" w:cs="Times New Roman"/>
          <w:sz w:val="28"/>
          <w:szCs w:val="28"/>
          <w:lang w:val="uk-UA"/>
        </w:rPr>
        <w:t>господарювання з високим ступенем ризику, та суб`єктів господарювання у сфері санітарного та епідемічного благополуччя населення</w:t>
      </w:r>
      <w:r w:rsidR="00B70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які також </w:t>
      </w:r>
      <w:r w:rsidR="00B70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передбачені для суб’єктів господарювання, що застосовують спрощену систему оподаткування, обліку та звітності.</w:t>
      </w:r>
    </w:p>
    <w:p w:rsidR="00A85FEF" w:rsidRDefault="00A85FEF" w:rsidP="00A85F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066FEA" w:rsidRDefault="00066FEA" w:rsidP="00A85F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 Вплив на бюджет</w:t>
      </w:r>
    </w:p>
    <w:p w:rsidR="001E4713" w:rsidRPr="00CB3721" w:rsidRDefault="001E4713" w:rsidP="00CB37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проекту Закону не потребує фінансування з державного та місцевих бюджетів. </w:t>
      </w:r>
    </w:p>
    <w:p w:rsidR="00284619" w:rsidRDefault="00284619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6FEA" w:rsidRDefault="00066FEA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 Позиція заінтересованих сторін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Закону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Прогноз впливу реалізації акта на ключові інтереси заінтересованих сторін внаслідок прийняття проекту Закону наведено у додатку 1 до пояснювальної записки (додається). 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Закону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1E4713" w:rsidRP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проведення консультацій з громадськістю проект Закону потребує оприлюднення на офіційному веб-сайті Мінекономіки.</w:t>
      </w:r>
    </w:p>
    <w:p w:rsid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6FEA" w:rsidRDefault="00066FEA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 Прогноз впливу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проекту Закону забезпечить можливість держави захистити права бізнесу та дозволить мінімізувати кількість контактів між бізнесом та органами контролю.</w:t>
      </w:r>
    </w:p>
    <w:p w:rsidR="001E4713" w:rsidRP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4B">
        <w:rPr>
          <w:rFonts w:ascii="Times New Roman" w:hAnsi="Times New Roman" w:cs="Times New Roman"/>
          <w:sz w:val="28"/>
          <w:szCs w:val="28"/>
          <w:lang w:val="uk-UA"/>
        </w:rPr>
        <w:t>Проект Закону відповідає принципам державної регуляторної політики.</w:t>
      </w:r>
    </w:p>
    <w:p w:rsid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6FEA" w:rsidRDefault="00066FEA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 Позиція заінтересованих органів</w:t>
      </w:r>
    </w:p>
    <w:p w:rsidR="00505512" w:rsidRPr="00D67FB4" w:rsidRDefault="001E4713" w:rsidP="00B908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1738"/>
      <w:bookmarkEnd w:id="2"/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 Закону потребує </w:t>
      </w:r>
      <w:r w:rsidR="00D67F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погодження з </w:t>
      </w:r>
      <w:r w:rsidR="0061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Мінфіном, ДРС </w:t>
      </w:r>
      <w:r w:rsidR="00B87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284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правової експертизи </w:t>
      </w: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Мін’юстом.</w:t>
      </w:r>
    </w:p>
    <w:p w:rsidR="00B9082B" w:rsidRPr="00D67FB4" w:rsidRDefault="00B9082B" w:rsidP="00B908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 Ризики та обмеження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норм Конвенції про захист прав людини і основоположних свобод, 1950 рік та протоколів до неї у проекті Закону відсутні положення, які порушують принцип забезпечення рівних прав та можливостей жінок і чоловіків.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проекті Закону відсутні правила і процедури, які можуть містити ризики вчинення корупційних правопорушень та правопорушень, пов’язаних з корупцією, громадська антикорупційна експертиза не проводилась.</w:t>
      </w: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Закону не має положень, які містять ознаки дискримінації. Громадська антидискримінаційна експертиза не проводилась.</w:t>
      </w:r>
    </w:p>
    <w:p w:rsidR="001E4713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6FEA" w:rsidRDefault="00066FEA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E4713" w:rsidRPr="0018534B" w:rsidRDefault="001E4713" w:rsidP="001E47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 Підстава розроблення проекту акта</w:t>
      </w:r>
    </w:p>
    <w:p w:rsidR="001E4713" w:rsidRPr="002B2C0C" w:rsidRDefault="001E4713" w:rsidP="002B2C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 Закону розроблено Мінекономіки </w:t>
      </w:r>
      <w:r w:rsidR="009D45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549C" w:rsidRPr="00EA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виконання пункту 101 Плану </w:t>
      </w:r>
      <w:r w:rsidR="00EA549C" w:rsidRPr="00EA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заходів з виконання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2020—2022 роки, затвердженого </w:t>
      </w:r>
      <w:r w:rsidR="00D86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постановою</w:t>
      </w:r>
      <w:r w:rsidR="00EA549C" w:rsidRPr="00EA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27.05.2020 №</w:t>
      </w:r>
      <w:r w:rsidR="00B70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EA549C" w:rsidRPr="00EA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534</w:t>
      </w:r>
      <w:r w:rsidR="00300939" w:rsidRPr="002B2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E4713" w:rsidRDefault="001E4713" w:rsidP="001E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2918" w:rsidRPr="00CB3721" w:rsidRDefault="004F2918" w:rsidP="001E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713" w:rsidRPr="001E4713" w:rsidRDefault="001E4713" w:rsidP="001E471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розвитку економіки, </w:t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торгівлі та сільського </w:t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br/>
        <w:t>господарства України</w:t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17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E4713">
        <w:rPr>
          <w:rFonts w:ascii="Times New Roman" w:hAnsi="Times New Roman" w:cs="Times New Roman"/>
          <w:b/>
          <w:sz w:val="28"/>
          <w:szCs w:val="28"/>
          <w:lang w:val="uk-UA"/>
        </w:rPr>
        <w:t>Ігор ПЕТРАШКО</w:t>
      </w:r>
    </w:p>
    <w:p w:rsidR="001E4713" w:rsidRPr="001E4713" w:rsidRDefault="001E4713" w:rsidP="001E47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713">
        <w:rPr>
          <w:rFonts w:ascii="Times New Roman" w:hAnsi="Times New Roman" w:cs="Times New Roman"/>
          <w:sz w:val="28"/>
          <w:szCs w:val="28"/>
          <w:lang w:val="uk-UA"/>
        </w:rPr>
        <w:t>___  ___________ 2020 р.</w:t>
      </w:r>
    </w:p>
    <w:p w:rsidR="006C3217" w:rsidRPr="001E4713" w:rsidRDefault="006C3217" w:rsidP="008D6F4B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061" w:rsidRPr="001E4713" w:rsidRDefault="008E3061" w:rsidP="008D6F4B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8E3061" w:rsidRPr="001E4713" w:rsidSect="00066FEA">
          <w:headerReference w:type="default" r:id="rId8"/>
          <w:footerReference w:type="default" r:id="rId9"/>
          <w:pgSz w:w="11906" w:h="16838" w:code="9"/>
          <w:pgMar w:top="284" w:right="567" w:bottom="1701" w:left="1701" w:header="709" w:footer="709" w:gutter="0"/>
          <w:cols w:space="708"/>
          <w:titlePg/>
          <w:docGrid w:linePitch="360"/>
        </w:sectPr>
      </w:pPr>
    </w:p>
    <w:p w:rsidR="001E4713" w:rsidRPr="001E4713" w:rsidRDefault="001E4713" w:rsidP="00BA31B5">
      <w:pPr>
        <w:spacing w:after="0" w:line="240" w:lineRule="auto"/>
        <w:ind w:left="10348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1E4713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lastRenderedPageBreak/>
        <w:t xml:space="preserve">Додаток 1 </w:t>
      </w:r>
    </w:p>
    <w:p w:rsidR="001E4713" w:rsidRPr="001E4713" w:rsidRDefault="001E4713" w:rsidP="00BA31B5">
      <w:pPr>
        <w:spacing w:after="0" w:line="240" w:lineRule="auto"/>
        <w:ind w:left="10348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1E4713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до пояснювальної записки до проекту Закону України </w:t>
      </w:r>
      <w:r w:rsidR="00BA0362" w:rsidRPr="00BA0362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“</w:t>
      </w:r>
      <w:r w:rsidR="007A41C7" w:rsidRPr="007A41C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Про внесення змін до деяких законодавчих актів України</w:t>
      </w:r>
      <w:r w:rsidR="00BA0362" w:rsidRPr="00BA0362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”</w:t>
      </w:r>
    </w:p>
    <w:p w:rsidR="001E4713" w:rsidRPr="001E4713" w:rsidRDefault="001E4713" w:rsidP="001E47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1E471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ПРОГНОЗ ВПЛИВУ</w:t>
      </w:r>
    </w:p>
    <w:p w:rsidR="006E2D7C" w:rsidRPr="006E2D7C" w:rsidRDefault="006E2D7C" w:rsidP="006E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E2D7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внаслідок прийняття проекту Закону України</w:t>
      </w:r>
    </w:p>
    <w:p w:rsidR="001E4713" w:rsidRPr="009A5772" w:rsidRDefault="006E2D7C" w:rsidP="006E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E2D7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“</w:t>
      </w:r>
      <w:r w:rsidR="009A5772" w:rsidRPr="009A577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внесення змін до деяких законодавчих актів України</w:t>
      </w:r>
      <w:r w:rsidRPr="006E2D7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”</w:t>
      </w:r>
    </w:p>
    <w:p w:rsidR="00BA31B5" w:rsidRDefault="001E4713" w:rsidP="00BA31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E4713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1. </w:t>
      </w:r>
      <w:r w:rsidR="005234FD">
        <w:rPr>
          <w:rFonts w:ascii="Times New Roman" w:eastAsia="Times New Roman" w:hAnsi="Times New Roman"/>
          <w:sz w:val="24"/>
          <w:szCs w:val="24"/>
          <w:lang w:val="uk-UA" w:eastAsia="uk-UA"/>
        </w:rPr>
        <w:t>З</w:t>
      </w:r>
      <w:r w:rsidR="00F00317" w:rsidRPr="00F00317">
        <w:rPr>
          <w:rFonts w:ascii="Times New Roman" w:eastAsia="Times New Roman" w:hAnsi="Times New Roman"/>
          <w:sz w:val="24"/>
          <w:szCs w:val="24"/>
          <w:lang w:val="uk-UA" w:eastAsia="uk-UA"/>
        </w:rPr>
        <w:t>вільнення від планових перевірок суб’єктів мікро- та малого підприємництва на три роки після їх відповідної реєстрації</w:t>
      </w:r>
      <w:r w:rsidR="00E75CCC" w:rsidRPr="0037145B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1E4713" w:rsidRPr="001E4713" w:rsidRDefault="001E4713" w:rsidP="00BA31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E4713">
        <w:rPr>
          <w:rFonts w:ascii="Times New Roman" w:eastAsia="Times New Roman" w:hAnsi="Times New Roman"/>
          <w:sz w:val="24"/>
          <w:szCs w:val="24"/>
          <w:lang w:val="uk-UA" w:eastAsia="uk-UA"/>
        </w:rPr>
        <w:t>2. Прогноз впливів на ключові інтереси заінтересованих сторін</w:t>
      </w:r>
    </w:p>
    <w:p w:rsidR="001E4713" w:rsidRPr="001E4713" w:rsidRDefault="001E4713" w:rsidP="001E4713">
      <w:pPr>
        <w:spacing w:after="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4984" w:type="pct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/>
      </w:tblPr>
      <w:tblGrid>
        <w:gridCol w:w="2948"/>
        <w:gridCol w:w="3006"/>
        <w:gridCol w:w="2325"/>
        <w:gridCol w:w="2574"/>
        <w:gridCol w:w="3770"/>
      </w:tblGrid>
      <w:tr w:rsidR="001E4713" w:rsidRPr="001E4713" w:rsidTr="00F34411">
        <w:tc>
          <w:tcPr>
            <w:tcW w:w="1008" w:type="pct"/>
            <w:vMerge w:val="restart"/>
            <w:vAlign w:val="center"/>
          </w:tcPr>
          <w:p w:rsidR="001E4713" w:rsidRPr="001E4713" w:rsidRDefault="001E4713" w:rsidP="00F3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1028" w:type="pct"/>
            <w:vMerge w:val="restart"/>
            <w:vAlign w:val="center"/>
          </w:tcPr>
          <w:p w:rsidR="001E4713" w:rsidRPr="001E4713" w:rsidRDefault="001E4713" w:rsidP="00F3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Ключовий інтерес</w:t>
            </w:r>
          </w:p>
        </w:tc>
        <w:tc>
          <w:tcPr>
            <w:tcW w:w="1675" w:type="pct"/>
            <w:gridSpan w:val="2"/>
          </w:tcPr>
          <w:p w:rsidR="001E4713" w:rsidRPr="001E4713" w:rsidRDefault="001E4713" w:rsidP="00F3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Очікуваний вплив на ключовий інтерес із зазначенням передбачуваної динаміки змін основних показників</w:t>
            </w:r>
          </w:p>
        </w:tc>
        <w:tc>
          <w:tcPr>
            <w:tcW w:w="1289" w:type="pct"/>
            <w:vMerge w:val="restart"/>
            <w:vAlign w:val="center"/>
          </w:tcPr>
          <w:p w:rsidR="001E4713" w:rsidRPr="001E4713" w:rsidRDefault="001E4713" w:rsidP="00F3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Пояснення</w:t>
            </w:r>
          </w:p>
        </w:tc>
      </w:tr>
      <w:tr w:rsidR="001E4713" w:rsidRPr="001E4713" w:rsidTr="00F34411">
        <w:tc>
          <w:tcPr>
            <w:tcW w:w="1008" w:type="pct"/>
            <w:vMerge/>
          </w:tcPr>
          <w:p w:rsidR="001E4713" w:rsidRPr="001E4713" w:rsidRDefault="001E4713" w:rsidP="00F344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vMerge/>
          </w:tcPr>
          <w:p w:rsidR="001E4713" w:rsidRPr="001E4713" w:rsidRDefault="001E4713" w:rsidP="00F344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pct"/>
          </w:tcPr>
          <w:p w:rsidR="001E4713" w:rsidRPr="001E4713" w:rsidRDefault="001E4713" w:rsidP="00F3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Короткостроковий вплив (до року)</w:t>
            </w:r>
          </w:p>
        </w:tc>
        <w:tc>
          <w:tcPr>
            <w:tcW w:w="880" w:type="pct"/>
          </w:tcPr>
          <w:p w:rsidR="001E4713" w:rsidRPr="001E4713" w:rsidRDefault="001E4713" w:rsidP="00F3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Середньостроковий вплив (більше року)</w:t>
            </w:r>
          </w:p>
        </w:tc>
        <w:tc>
          <w:tcPr>
            <w:tcW w:w="1289" w:type="pct"/>
            <w:vMerge/>
          </w:tcPr>
          <w:p w:rsidR="001E4713" w:rsidRPr="001E4713" w:rsidRDefault="001E4713" w:rsidP="00F344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4713" w:rsidRPr="001E4713" w:rsidTr="00F34411">
        <w:tc>
          <w:tcPr>
            <w:tcW w:w="1008" w:type="pct"/>
          </w:tcPr>
          <w:p w:rsidR="001E4713" w:rsidRPr="001E4713" w:rsidRDefault="001E4713" w:rsidP="00F3441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  <w:r w:rsidR="00202C5D">
              <w:rPr>
                <w:rFonts w:ascii="Times New Roman" w:hAnsi="Times New Roman"/>
                <w:sz w:val="24"/>
                <w:szCs w:val="24"/>
                <w:lang w:val="uk-UA"/>
              </w:rPr>
              <w:t>, які</w:t>
            </w:r>
            <w:r w:rsidR="008961F2" w:rsidRPr="0089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D0B" w:rsidRPr="00E36D0B">
              <w:rPr>
                <w:rFonts w:ascii="Times New Roman" w:hAnsi="Times New Roman"/>
                <w:sz w:val="24"/>
                <w:szCs w:val="24"/>
                <w:lang w:val="uk-UA"/>
              </w:rPr>
              <w:t>не застосовують спрощену систему оподаткування, обліку та звітності</w:t>
            </w: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відповідній сфері господарської діяльності</w:t>
            </w:r>
          </w:p>
        </w:tc>
        <w:tc>
          <w:tcPr>
            <w:tcW w:w="1028" w:type="pct"/>
          </w:tcPr>
          <w:p w:rsidR="001E4713" w:rsidRPr="001E4713" w:rsidRDefault="001E4713" w:rsidP="00F3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сталої господарської діяльності</w:t>
            </w:r>
          </w:p>
          <w:p w:rsidR="001E4713" w:rsidRPr="001E4713" w:rsidRDefault="001E4713" w:rsidP="00F3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713" w:rsidRPr="001E4713" w:rsidRDefault="001E4713" w:rsidP="00F3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95" w:type="pct"/>
          </w:tcPr>
          <w:p w:rsidR="001E4713" w:rsidRPr="001E4713" w:rsidRDefault="001E4713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880" w:type="pct"/>
          </w:tcPr>
          <w:p w:rsidR="001E4713" w:rsidRPr="001E4713" w:rsidRDefault="008208D3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  <w:p w:rsidR="001E4713" w:rsidRPr="001E4713" w:rsidRDefault="001E4713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89" w:type="pct"/>
          </w:tcPr>
          <w:p w:rsidR="001E4713" w:rsidRPr="001E4713" w:rsidRDefault="00DB3A75" w:rsidP="00FC5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E4713"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меншення навантаження на бізнес через відсутність планових перевірок.</w:t>
            </w:r>
          </w:p>
        </w:tc>
      </w:tr>
      <w:tr w:rsidR="00CA630B" w:rsidRPr="00612D74" w:rsidTr="00F34411">
        <w:tc>
          <w:tcPr>
            <w:tcW w:w="1008" w:type="pct"/>
          </w:tcPr>
          <w:p w:rsidR="00CA630B" w:rsidRPr="001E4713" w:rsidRDefault="008F7DC3" w:rsidP="00F344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C65">
              <w:rPr>
                <w:rFonts w:ascii="Times New Roman" w:hAnsi="Times New Roman"/>
                <w:sz w:val="24"/>
                <w:szCs w:val="24"/>
                <w:lang w:val="uk-UA"/>
              </w:rPr>
              <w:t>Посадові особи органів державного нагляду (контролю) у відповідній сфері господарської діяльності</w:t>
            </w:r>
          </w:p>
        </w:tc>
        <w:tc>
          <w:tcPr>
            <w:tcW w:w="1028" w:type="pct"/>
          </w:tcPr>
          <w:p w:rsidR="00CA630B" w:rsidRPr="001E4713" w:rsidRDefault="00BD014B" w:rsidP="00CB3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D01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меншення кількості </w:t>
            </w:r>
            <w:r w:rsidR="00CB3721">
              <w:rPr>
                <w:rFonts w:ascii="Times New Roman" w:hAnsi="Times New Roman"/>
                <w:sz w:val="24"/>
                <w:szCs w:val="24"/>
                <w:lang w:val="uk-UA"/>
              </w:rPr>
              <w:t>порушень вимог законодавства</w:t>
            </w:r>
            <w:r w:rsidR="00250D79" w:rsidRPr="0025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C65">
              <w:rPr>
                <w:rFonts w:ascii="Times New Roman" w:hAnsi="Times New Roman"/>
                <w:sz w:val="24"/>
                <w:szCs w:val="24"/>
                <w:lang w:val="uk-UA"/>
              </w:rPr>
              <w:t>у відповідній сфері господарської діяльності</w:t>
            </w:r>
          </w:p>
        </w:tc>
        <w:tc>
          <w:tcPr>
            <w:tcW w:w="795" w:type="pct"/>
          </w:tcPr>
          <w:p w:rsidR="00CA630B" w:rsidRPr="001E4713" w:rsidRDefault="00272086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713"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880" w:type="pct"/>
          </w:tcPr>
          <w:p w:rsidR="00272086" w:rsidRPr="001E4713" w:rsidRDefault="00272086" w:rsidP="00272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  <w:p w:rsidR="00CA630B" w:rsidRDefault="00CA630B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</w:tcPr>
          <w:p w:rsidR="00CA630B" w:rsidRDefault="00CB3721" w:rsidP="00CB3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Перерозподіл уваги органів </w:t>
            </w:r>
            <w:r w:rsidR="00921845" w:rsidRPr="003C4C65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нагляду (контролю)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менш ризикових на більш ризикові суб’єкти господарювання</w:t>
            </w:r>
            <w:r w:rsidR="00797C91" w:rsidRPr="00797C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53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шляхом </w:t>
            </w:r>
            <w:r w:rsidR="00EB2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перевірок </w:t>
            </w:r>
            <w:r w:rsidR="00AA220D">
              <w:rPr>
                <w:rFonts w:ascii="Times New Roman" w:hAnsi="Times New Roman"/>
                <w:sz w:val="24"/>
                <w:szCs w:val="24"/>
                <w:lang w:val="uk-UA"/>
              </w:rPr>
              <w:t>переважено</w:t>
            </w:r>
            <w:r w:rsidR="0029641C" w:rsidRPr="003153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суб’єктів господарювання з високим ступенем ризику</w:t>
            </w:r>
            <w:r w:rsidR="00361525" w:rsidRPr="003C4C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відповідній сфері господарської діяльності</w:t>
            </w:r>
            <w:r w:rsidR="00272086" w:rsidRPr="003C4C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A630B" w:rsidRPr="006372DB" w:rsidTr="00F34411">
        <w:tc>
          <w:tcPr>
            <w:tcW w:w="1008" w:type="pct"/>
          </w:tcPr>
          <w:p w:rsidR="00CA630B" w:rsidRPr="001E4713" w:rsidRDefault="002054B1" w:rsidP="00F344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Громадяни</w:t>
            </w:r>
            <w:r w:rsidR="003E7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(населення)</w:t>
            </w:r>
          </w:p>
        </w:tc>
        <w:tc>
          <w:tcPr>
            <w:tcW w:w="1028" w:type="pct"/>
          </w:tcPr>
          <w:p w:rsidR="00CA630B" w:rsidRPr="001E4713" w:rsidRDefault="00DF4EFF" w:rsidP="00A66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Безпечність і якість </w:t>
            </w:r>
            <w:r w:rsidR="005C647D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  <w:r w:rsidR="00A66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послуг</w:t>
            </w:r>
            <w:r w:rsidR="00CB3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зменшення </w:t>
            </w:r>
            <w:r w:rsidR="00CB37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порушень вимог законодавства з боку суб’єктів господарювання</w:t>
            </w:r>
          </w:p>
        </w:tc>
        <w:tc>
          <w:tcPr>
            <w:tcW w:w="795" w:type="pct"/>
          </w:tcPr>
          <w:p w:rsidR="00CA630B" w:rsidRPr="001E4713" w:rsidRDefault="002054B1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Негативний </w:t>
            </w:r>
          </w:p>
        </w:tc>
        <w:tc>
          <w:tcPr>
            <w:tcW w:w="880" w:type="pct"/>
          </w:tcPr>
          <w:p w:rsidR="00CA630B" w:rsidRDefault="002054B1" w:rsidP="00F34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1289" w:type="pct"/>
          </w:tcPr>
          <w:p w:rsidR="00CA630B" w:rsidRDefault="005F15CC" w:rsidP="0063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C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короткостроковому періоді </w:t>
            </w:r>
            <w:r w:rsidR="00637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існують ризики </w:t>
            </w:r>
            <w:r w:rsidR="006372DB" w:rsidRPr="00637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настання </w:t>
            </w:r>
            <w:r w:rsidR="006372DB" w:rsidRPr="006372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негативних наслідків </w:t>
            </w:r>
            <w:r w:rsidR="005E17E1">
              <w:rPr>
                <w:rFonts w:ascii="Times New Roman" w:hAnsi="Times New Roman"/>
                <w:sz w:val="24"/>
                <w:szCs w:val="24"/>
                <w:lang w:val="uk-UA"/>
              </w:rPr>
              <w:t>через зменшення</w:t>
            </w:r>
            <w:r w:rsidR="00882582" w:rsidRPr="0088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2DB" w:rsidRPr="003C4C65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нагляду (контролю) у відповідній сфері господарської діяльності</w:t>
            </w:r>
            <w:r w:rsidR="006372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72DB" w:rsidRDefault="00DA370D" w:rsidP="00C228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середньостроковому періоді </w:t>
            </w:r>
            <w:r w:rsidR="005E17E1">
              <w:rPr>
                <w:rFonts w:ascii="Times New Roman" w:hAnsi="Times New Roman"/>
                <w:sz w:val="24"/>
                <w:szCs w:val="24"/>
                <w:lang w:val="uk-UA"/>
              </w:rPr>
              <w:t>відбудеться зни</w:t>
            </w:r>
            <w:r w:rsidR="00CB3721"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r w:rsidR="00C2284E" w:rsidRPr="00C22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загроз</w:t>
            </w:r>
            <w:r w:rsidR="00C2284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C2284E" w:rsidRPr="00C22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здоров’я людей </w:t>
            </w:r>
            <w:r w:rsidR="00C22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</w:t>
            </w:r>
            <w:r w:rsidR="00461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порушень </w:t>
            </w:r>
            <w:r w:rsidR="00F55C75">
              <w:rPr>
                <w:rFonts w:ascii="Times New Roman" w:hAnsi="Times New Roman"/>
                <w:sz w:val="24"/>
                <w:szCs w:val="24"/>
                <w:lang w:val="uk-UA"/>
              </w:rPr>
              <w:t>суб’єктами</w:t>
            </w:r>
            <w:r w:rsidR="00461B2E" w:rsidRPr="003153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господарювання</w:t>
            </w:r>
            <w:r w:rsidR="00F55C75">
              <w:rPr>
                <w:rFonts w:ascii="Times New Roman" w:hAnsi="Times New Roman"/>
                <w:sz w:val="24"/>
                <w:szCs w:val="24"/>
                <w:lang w:val="uk-UA"/>
              </w:rPr>
              <w:t>, які здійснюють господарську діяльність</w:t>
            </w:r>
            <w:r w:rsidR="00461B2E" w:rsidRPr="003153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високим ступенем ризику</w:t>
            </w:r>
            <w:r w:rsidR="00F04D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E3061" w:rsidRPr="00BA31B5" w:rsidRDefault="008E3061" w:rsidP="001E4713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</w:p>
    <w:sectPr w:rsidR="008E3061" w:rsidRPr="00BA31B5" w:rsidSect="005E17E1">
      <w:headerReference w:type="default" r:id="rId10"/>
      <w:pgSz w:w="16838" w:h="11906" w:orient="landscape"/>
      <w:pgMar w:top="426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A4" w:rsidRDefault="00C931A4" w:rsidP="004736E7">
      <w:pPr>
        <w:spacing w:after="0" w:line="240" w:lineRule="auto"/>
      </w:pPr>
      <w:r>
        <w:separator/>
      </w:r>
    </w:p>
  </w:endnote>
  <w:endnote w:type="continuationSeparator" w:id="1">
    <w:p w:rsidR="00C931A4" w:rsidRDefault="00C931A4" w:rsidP="004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E7" w:rsidRPr="002106A0" w:rsidRDefault="004736E7" w:rsidP="004736E7">
    <w:pPr>
      <w:pStyle w:val="a7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A4" w:rsidRDefault="00C931A4" w:rsidP="004736E7">
      <w:pPr>
        <w:spacing w:after="0" w:line="240" w:lineRule="auto"/>
      </w:pPr>
      <w:r>
        <w:separator/>
      </w:r>
    </w:p>
  </w:footnote>
  <w:footnote w:type="continuationSeparator" w:id="1">
    <w:p w:rsidR="00C931A4" w:rsidRDefault="00C931A4" w:rsidP="004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087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C1B95" w:rsidRPr="002106A0" w:rsidRDefault="00AE2F1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106A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C1B95" w:rsidRPr="002106A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106A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12D7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106A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C1B95" w:rsidRPr="008D6F4B" w:rsidRDefault="005C1B95">
    <w:pPr>
      <w:pStyle w:val="a5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5" w:rsidRPr="00817C15" w:rsidRDefault="0078743E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uk-UA"/>
      </w:rPr>
      <w:t>2</w:t>
    </w:r>
  </w:p>
  <w:p w:rsidR="00817C15" w:rsidRDefault="00C931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034"/>
    <w:multiLevelType w:val="hybridMultilevel"/>
    <w:tmpl w:val="D7BE0DAC"/>
    <w:lvl w:ilvl="0" w:tplc="FDFEC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47ABC"/>
    <w:multiLevelType w:val="hybridMultilevel"/>
    <w:tmpl w:val="CEA4E956"/>
    <w:lvl w:ilvl="0" w:tplc="5C8E3E2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456C96"/>
    <w:multiLevelType w:val="hybridMultilevel"/>
    <w:tmpl w:val="E910B904"/>
    <w:lvl w:ilvl="0" w:tplc="FDFEC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1528"/>
    <w:multiLevelType w:val="hybridMultilevel"/>
    <w:tmpl w:val="B1243242"/>
    <w:lvl w:ilvl="0" w:tplc="9418E418">
      <w:start w:val="1"/>
      <w:numFmt w:val="bullet"/>
      <w:lvlText w:val="-"/>
      <w:lvlJc w:val="left"/>
      <w:pPr>
        <w:ind w:left="117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72A1DD3"/>
    <w:multiLevelType w:val="hybridMultilevel"/>
    <w:tmpl w:val="BE707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75"/>
    <w:rsid w:val="00010347"/>
    <w:rsid w:val="00011E53"/>
    <w:rsid w:val="000149FC"/>
    <w:rsid w:val="0001601A"/>
    <w:rsid w:val="00027928"/>
    <w:rsid w:val="0003057C"/>
    <w:rsid w:val="0003347E"/>
    <w:rsid w:val="00036E61"/>
    <w:rsid w:val="0005745C"/>
    <w:rsid w:val="00060959"/>
    <w:rsid w:val="00064A33"/>
    <w:rsid w:val="00066FEA"/>
    <w:rsid w:val="00072F2E"/>
    <w:rsid w:val="00074CFE"/>
    <w:rsid w:val="000766BF"/>
    <w:rsid w:val="00076DE5"/>
    <w:rsid w:val="0007750F"/>
    <w:rsid w:val="00080DEF"/>
    <w:rsid w:val="0008641F"/>
    <w:rsid w:val="000878B5"/>
    <w:rsid w:val="000947A9"/>
    <w:rsid w:val="000964A8"/>
    <w:rsid w:val="000977E2"/>
    <w:rsid w:val="000A1E4E"/>
    <w:rsid w:val="000A7E6C"/>
    <w:rsid w:val="000B0737"/>
    <w:rsid w:val="000C20E9"/>
    <w:rsid w:val="000C4CD8"/>
    <w:rsid w:val="000C6117"/>
    <w:rsid w:val="000D2BA7"/>
    <w:rsid w:val="000D2FDF"/>
    <w:rsid w:val="000D35B1"/>
    <w:rsid w:val="000D5E31"/>
    <w:rsid w:val="000D7812"/>
    <w:rsid w:val="000E2701"/>
    <w:rsid w:val="000E6984"/>
    <w:rsid w:val="000E73DC"/>
    <w:rsid w:val="000E75E8"/>
    <w:rsid w:val="000F121A"/>
    <w:rsid w:val="000F12C0"/>
    <w:rsid w:val="000F17A4"/>
    <w:rsid w:val="000F54E3"/>
    <w:rsid w:val="000F57B5"/>
    <w:rsid w:val="000F5FE6"/>
    <w:rsid w:val="000F68EA"/>
    <w:rsid w:val="0010339D"/>
    <w:rsid w:val="001070DC"/>
    <w:rsid w:val="001112C2"/>
    <w:rsid w:val="001172CA"/>
    <w:rsid w:val="00127CDA"/>
    <w:rsid w:val="00131A48"/>
    <w:rsid w:val="0013217B"/>
    <w:rsid w:val="001333D9"/>
    <w:rsid w:val="001354A8"/>
    <w:rsid w:val="001414B6"/>
    <w:rsid w:val="0014640C"/>
    <w:rsid w:val="00151648"/>
    <w:rsid w:val="0015328B"/>
    <w:rsid w:val="00155E0A"/>
    <w:rsid w:val="00161ABA"/>
    <w:rsid w:val="00167437"/>
    <w:rsid w:val="00167576"/>
    <w:rsid w:val="00174B9E"/>
    <w:rsid w:val="0017666B"/>
    <w:rsid w:val="0018018E"/>
    <w:rsid w:val="0018072F"/>
    <w:rsid w:val="001852DF"/>
    <w:rsid w:val="0018534B"/>
    <w:rsid w:val="00193E0D"/>
    <w:rsid w:val="00197A12"/>
    <w:rsid w:val="001A2D8E"/>
    <w:rsid w:val="001A3547"/>
    <w:rsid w:val="001A3BB4"/>
    <w:rsid w:val="001A4433"/>
    <w:rsid w:val="001B2278"/>
    <w:rsid w:val="001B6966"/>
    <w:rsid w:val="001B6D63"/>
    <w:rsid w:val="001B7ECB"/>
    <w:rsid w:val="001C0210"/>
    <w:rsid w:val="001C2D1D"/>
    <w:rsid w:val="001C3FC0"/>
    <w:rsid w:val="001C4316"/>
    <w:rsid w:val="001C4B9F"/>
    <w:rsid w:val="001E4713"/>
    <w:rsid w:val="001E55E0"/>
    <w:rsid w:val="001E7226"/>
    <w:rsid w:val="001F0393"/>
    <w:rsid w:val="001F220D"/>
    <w:rsid w:val="001F2F43"/>
    <w:rsid w:val="002006F8"/>
    <w:rsid w:val="0020268E"/>
    <w:rsid w:val="00202C5D"/>
    <w:rsid w:val="002054B1"/>
    <w:rsid w:val="00207CDB"/>
    <w:rsid w:val="002106A0"/>
    <w:rsid w:val="00214CD6"/>
    <w:rsid w:val="00216A99"/>
    <w:rsid w:val="00217814"/>
    <w:rsid w:val="00222091"/>
    <w:rsid w:val="00222CDE"/>
    <w:rsid w:val="00223296"/>
    <w:rsid w:val="00225043"/>
    <w:rsid w:val="0022735B"/>
    <w:rsid w:val="00230F3D"/>
    <w:rsid w:val="0023635A"/>
    <w:rsid w:val="00236EE0"/>
    <w:rsid w:val="0024697D"/>
    <w:rsid w:val="00250D79"/>
    <w:rsid w:val="002517C3"/>
    <w:rsid w:val="00252242"/>
    <w:rsid w:val="002546AC"/>
    <w:rsid w:val="002642AF"/>
    <w:rsid w:val="00265A7B"/>
    <w:rsid w:val="00272086"/>
    <w:rsid w:val="00273B19"/>
    <w:rsid w:val="00284619"/>
    <w:rsid w:val="00286405"/>
    <w:rsid w:val="00287F23"/>
    <w:rsid w:val="00290ADA"/>
    <w:rsid w:val="002911E2"/>
    <w:rsid w:val="0029641C"/>
    <w:rsid w:val="00296494"/>
    <w:rsid w:val="002A432A"/>
    <w:rsid w:val="002B2C0C"/>
    <w:rsid w:val="002B4664"/>
    <w:rsid w:val="002C0F95"/>
    <w:rsid w:val="002C1544"/>
    <w:rsid w:val="002D0964"/>
    <w:rsid w:val="002D1047"/>
    <w:rsid w:val="002D1A95"/>
    <w:rsid w:val="002D1D94"/>
    <w:rsid w:val="002D41E9"/>
    <w:rsid w:val="002D7C34"/>
    <w:rsid w:val="002E4339"/>
    <w:rsid w:val="002E7897"/>
    <w:rsid w:val="00300939"/>
    <w:rsid w:val="00301BB8"/>
    <w:rsid w:val="00306F63"/>
    <w:rsid w:val="00311EFF"/>
    <w:rsid w:val="003153F6"/>
    <w:rsid w:val="003170D2"/>
    <w:rsid w:val="00317719"/>
    <w:rsid w:val="0032533D"/>
    <w:rsid w:val="00326065"/>
    <w:rsid w:val="00341863"/>
    <w:rsid w:val="00361525"/>
    <w:rsid w:val="00362A62"/>
    <w:rsid w:val="0037145B"/>
    <w:rsid w:val="00375CC1"/>
    <w:rsid w:val="0038298D"/>
    <w:rsid w:val="00383A3A"/>
    <w:rsid w:val="00383BF2"/>
    <w:rsid w:val="00390A29"/>
    <w:rsid w:val="003A21D0"/>
    <w:rsid w:val="003A2853"/>
    <w:rsid w:val="003A52DC"/>
    <w:rsid w:val="003A5635"/>
    <w:rsid w:val="003A6D43"/>
    <w:rsid w:val="003B1519"/>
    <w:rsid w:val="003B5843"/>
    <w:rsid w:val="003C2859"/>
    <w:rsid w:val="003C5002"/>
    <w:rsid w:val="003D0467"/>
    <w:rsid w:val="003D1F2E"/>
    <w:rsid w:val="003D38C6"/>
    <w:rsid w:val="003D427D"/>
    <w:rsid w:val="003D4973"/>
    <w:rsid w:val="003D4CB1"/>
    <w:rsid w:val="003E075C"/>
    <w:rsid w:val="003E11F9"/>
    <w:rsid w:val="003E2313"/>
    <w:rsid w:val="003E744B"/>
    <w:rsid w:val="003E778B"/>
    <w:rsid w:val="003F3DD4"/>
    <w:rsid w:val="0040738A"/>
    <w:rsid w:val="004121C7"/>
    <w:rsid w:val="0041313F"/>
    <w:rsid w:val="00413E0D"/>
    <w:rsid w:val="00420220"/>
    <w:rsid w:val="0043063C"/>
    <w:rsid w:val="00430686"/>
    <w:rsid w:val="00432663"/>
    <w:rsid w:val="00436584"/>
    <w:rsid w:val="004367D7"/>
    <w:rsid w:val="0044116A"/>
    <w:rsid w:val="00442B88"/>
    <w:rsid w:val="00445879"/>
    <w:rsid w:val="004471D5"/>
    <w:rsid w:val="00454076"/>
    <w:rsid w:val="00461B2E"/>
    <w:rsid w:val="00462276"/>
    <w:rsid w:val="00465F08"/>
    <w:rsid w:val="004661A1"/>
    <w:rsid w:val="00467805"/>
    <w:rsid w:val="00472254"/>
    <w:rsid w:val="004736E7"/>
    <w:rsid w:val="004776A3"/>
    <w:rsid w:val="00491D12"/>
    <w:rsid w:val="00494E40"/>
    <w:rsid w:val="00495BB6"/>
    <w:rsid w:val="00496185"/>
    <w:rsid w:val="004963E3"/>
    <w:rsid w:val="004A6A90"/>
    <w:rsid w:val="004B314B"/>
    <w:rsid w:val="004B47DF"/>
    <w:rsid w:val="004C63B1"/>
    <w:rsid w:val="004C6955"/>
    <w:rsid w:val="004E334F"/>
    <w:rsid w:val="004E6871"/>
    <w:rsid w:val="004E6B1A"/>
    <w:rsid w:val="004E7E44"/>
    <w:rsid w:val="004F2918"/>
    <w:rsid w:val="004F33B4"/>
    <w:rsid w:val="004F3ED9"/>
    <w:rsid w:val="00501448"/>
    <w:rsid w:val="00505512"/>
    <w:rsid w:val="005069DB"/>
    <w:rsid w:val="005146DD"/>
    <w:rsid w:val="0052003D"/>
    <w:rsid w:val="005211EE"/>
    <w:rsid w:val="005234FD"/>
    <w:rsid w:val="00532676"/>
    <w:rsid w:val="00533F77"/>
    <w:rsid w:val="00537FF2"/>
    <w:rsid w:val="005408CD"/>
    <w:rsid w:val="00544B1A"/>
    <w:rsid w:val="00546B73"/>
    <w:rsid w:val="005472CD"/>
    <w:rsid w:val="005476D1"/>
    <w:rsid w:val="00550500"/>
    <w:rsid w:val="005520E9"/>
    <w:rsid w:val="00552B6D"/>
    <w:rsid w:val="00554C79"/>
    <w:rsid w:val="00561CC4"/>
    <w:rsid w:val="00564C10"/>
    <w:rsid w:val="0056550C"/>
    <w:rsid w:val="00567F01"/>
    <w:rsid w:val="005712D7"/>
    <w:rsid w:val="005771C2"/>
    <w:rsid w:val="00586EA2"/>
    <w:rsid w:val="00587630"/>
    <w:rsid w:val="005964E1"/>
    <w:rsid w:val="0059736B"/>
    <w:rsid w:val="005A02B3"/>
    <w:rsid w:val="005A4B0E"/>
    <w:rsid w:val="005A630B"/>
    <w:rsid w:val="005A6991"/>
    <w:rsid w:val="005C1B95"/>
    <w:rsid w:val="005C1F8F"/>
    <w:rsid w:val="005C2342"/>
    <w:rsid w:val="005C4F3E"/>
    <w:rsid w:val="005C647D"/>
    <w:rsid w:val="005D0361"/>
    <w:rsid w:val="005D0B1D"/>
    <w:rsid w:val="005D0B33"/>
    <w:rsid w:val="005D0D3A"/>
    <w:rsid w:val="005D5DB0"/>
    <w:rsid w:val="005E17E1"/>
    <w:rsid w:val="005F15CC"/>
    <w:rsid w:val="005F5B2F"/>
    <w:rsid w:val="006003B3"/>
    <w:rsid w:val="0060257B"/>
    <w:rsid w:val="00603E85"/>
    <w:rsid w:val="00612910"/>
    <w:rsid w:val="00612D74"/>
    <w:rsid w:val="006150EE"/>
    <w:rsid w:val="00617EE3"/>
    <w:rsid w:val="00635824"/>
    <w:rsid w:val="00636C05"/>
    <w:rsid w:val="006372DB"/>
    <w:rsid w:val="00637CAA"/>
    <w:rsid w:val="00637F69"/>
    <w:rsid w:val="0064204D"/>
    <w:rsid w:val="00645D35"/>
    <w:rsid w:val="0065650B"/>
    <w:rsid w:val="006579D3"/>
    <w:rsid w:val="006612C1"/>
    <w:rsid w:val="0066312E"/>
    <w:rsid w:val="0066404E"/>
    <w:rsid w:val="00665E73"/>
    <w:rsid w:val="00666F5B"/>
    <w:rsid w:val="006736A8"/>
    <w:rsid w:val="00684AAB"/>
    <w:rsid w:val="00695200"/>
    <w:rsid w:val="0069598C"/>
    <w:rsid w:val="006A19E1"/>
    <w:rsid w:val="006A2276"/>
    <w:rsid w:val="006A3AE3"/>
    <w:rsid w:val="006A3FA1"/>
    <w:rsid w:val="006A7817"/>
    <w:rsid w:val="006B2F22"/>
    <w:rsid w:val="006B3CD8"/>
    <w:rsid w:val="006B5BC4"/>
    <w:rsid w:val="006C1210"/>
    <w:rsid w:val="006C1F66"/>
    <w:rsid w:val="006C2F16"/>
    <w:rsid w:val="006C3217"/>
    <w:rsid w:val="006C4696"/>
    <w:rsid w:val="006D45E9"/>
    <w:rsid w:val="006D760D"/>
    <w:rsid w:val="006E24AF"/>
    <w:rsid w:val="006E2D7C"/>
    <w:rsid w:val="006E5E28"/>
    <w:rsid w:val="006E6BD2"/>
    <w:rsid w:val="006F684F"/>
    <w:rsid w:val="006F725E"/>
    <w:rsid w:val="00704946"/>
    <w:rsid w:val="007104AB"/>
    <w:rsid w:val="0071138C"/>
    <w:rsid w:val="00727764"/>
    <w:rsid w:val="00727781"/>
    <w:rsid w:val="007339A4"/>
    <w:rsid w:val="00734278"/>
    <w:rsid w:val="007349FC"/>
    <w:rsid w:val="0073654B"/>
    <w:rsid w:val="00744ACB"/>
    <w:rsid w:val="00751F77"/>
    <w:rsid w:val="0075405D"/>
    <w:rsid w:val="00762747"/>
    <w:rsid w:val="00765A3F"/>
    <w:rsid w:val="007705EB"/>
    <w:rsid w:val="00771521"/>
    <w:rsid w:val="00775419"/>
    <w:rsid w:val="00776886"/>
    <w:rsid w:val="00776F39"/>
    <w:rsid w:val="0078119F"/>
    <w:rsid w:val="0078175B"/>
    <w:rsid w:val="007817D3"/>
    <w:rsid w:val="00781E1E"/>
    <w:rsid w:val="00782E36"/>
    <w:rsid w:val="0078512C"/>
    <w:rsid w:val="00785944"/>
    <w:rsid w:val="0078743E"/>
    <w:rsid w:val="00792F85"/>
    <w:rsid w:val="00794642"/>
    <w:rsid w:val="00797C91"/>
    <w:rsid w:val="007A2A00"/>
    <w:rsid w:val="007A2D86"/>
    <w:rsid w:val="007A3FE0"/>
    <w:rsid w:val="007A41C7"/>
    <w:rsid w:val="007B2942"/>
    <w:rsid w:val="007B3426"/>
    <w:rsid w:val="007B448B"/>
    <w:rsid w:val="007C3C88"/>
    <w:rsid w:val="007D008C"/>
    <w:rsid w:val="007D606A"/>
    <w:rsid w:val="007D7328"/>
    <w:rsid w:val="007D7FBB"/>
    <w:rsid w:val="007F1197"/>
    <w:rsid w:val="007F2063"/>
    <w:rsid w:val="007F28C1"/>
    <w:rsid w:val="00800A7F"/>
    <w:rsid w:val="00802E49"/>
    <w:rsid w:val="008061BD"/>
    <w:rsid w:val="008064B3"/>
    <w:rsid w:val="0080787A"/>
    <w:rsid w:val="00811D44"/>
    <w:rsid w:val="00813615"/>
    <w:rsid w:val="00813BE1"/>
    <w:rsid w:val="008205C5"/>
    <w:rsid w:val="008208D3"/>
    <w:rsid w:val="008224C0"/>
    <w:rsid w:val="008321F5"/>
    <w:rsid w:val="00834D4D"/>
    <w:rsid w:val="00840A69"/>
    <w:rsid w:val="00843839"/>
    <w:rsid w:val="00845847"/>
    <w:rsid w:val="00847A74"/>
    <w:rsid w:val="0085210F"/>
    <w:rsid w:val="008539A7"/>
    <w:rsid w:val="0086304B"/>
    <w:rsid w:val="00872CF3"/>
    <w:rsid w:val="00874513"/>
    <w:rsid w:val="00880A20"/>
    <w:rsid w:val="00882582"/>
    <w:rsid w:val="00883473"/>
    <w:rsid w:val="008837E9"/>
    <w:rsid w:val="00891211"/>
    <w:rsid w:val="00894E7B"/>
    <w:rsid w:val="008961F2"/>
    <w:rsid w:val="008A16F6"/>
    <w:rsid w:val="008B579F"/>
    <w:rsid w:val="008C0341"/>
    <w:rsid w:val="008C3626"/>
    <w:rsid w:val="008C50DA"/>
    <w:rsid w:val="008C7586"/>
    <w:rsid w:val="008C7EA1"/>
    <w:rsid w:val="008D460E"/>
    <w:rsid w:val="008D6F4B"/>
    <w:rsid w:val="008D7837"/>
    <w:rsid w:val="008E06E7"/>
    <w:rsid w:val="008E3061"/>
    <w:rsid w:val="008F2F95"/>
    <w:rsid w:val="008F7DC3"/>
    <w:rsid w:val="009033A1"/>
    <w:rsid w:val="00904FED"/>
    <w:rsid w:val="0091332F"/>
    <w:rsid w:val="00921845"/>
    <w:rsid w:val="00927171"/>
    <w:rsid w:val="00927454"/>
    <w:rsid w:val="009304E6"/>
    <w:rsid w:val="00931A6A"/>
    <w:rsid w:val="00933002"/>
    <w:rsid w:val="00933E07"/>
    <w:rsid w:val="00935D3C"/>
    <w:rsid w:val="0093734E"/>
    <w:rsid w:val="009411BA"/>
    <w:rsid w:val="00945325"/>
    <w:rsid w:val="00954BE9"/>
    <w:rsid w:val="009556A1"/>
    <w:rsid w:val="00956D8A"/>
    <w:rsid w:val="00960D1D"/>
    <w:rsid w:val="00972AA3"/>
    <w:rsid w:val="00972FCE"/>
    <w:rsid w:val="00973A93"/>
    <w:rsid w:val="00975095"/>
    <w:rsid w:val="00975C04"/>
    <w:rsid w:val="0099718B"/>
    <w:rsid w:val="00997DF6"/>
    <w:rsid w:val="009A4C90"/>
    <w:rsid w:val="009A5772"/>
    <w:rsid w:val="009A5A13"/>
    <w:rsid w:val="009B224A"/>
    <w:rsid w:val="009C6947"/>
    <w:rsid w:val="009D0988"/>
    <w:rsid w:val="009D190C"/>
    <w:rsid w:val="009D35CB"/>
    <w:rsid w:val="009D4513"/>
    <w:rsid w:val="009D7A63"/>
    <w:rsid w:val="009E34D9"/>
    <w:rsid w:val="009E377A"/>
    <w:rsid w:val="009F04D7"/>
    <w:rsid w:val="009F40B7"/>
    <w:rsid w:val="009F4BFD"/>
    <w:rsid w:val="009F7142"/>
    <w:rsid w:val="009F74CA"/>
    <w:rsid w:val="00A03470"/>
    <w:rsid w:val="00A06C12"/>
    <w:rsid w:val="00A07491"/>
    <w:rsid w:val="00A1237E"/>
    <w:rsid w:val="00A14117"/>
    <w:rsid w:val="00A15ACE"/>
    <w:rsid w:val="00A202C7"/>
    <w:rsid w:val="00A21ADF"/>
    <w:rsid w:val="00A243EB"/>
    <w:rsid w:val="00A263F2"/>
    <w:rsid w:val="00A31308"/>
    <w:rsid w:val="00A3247A"/>
    <w:rsid w:val="00A33493"/>
    <w:rsid w:val="00A33C38"/>
    <w:rsid w:val="00A34FDE"/>
    <w:rsid w:val="00A379F4"/>
    <w:rsid w:val="00A4398B"/>
    <w:rsid w:val="00A444B8"/>
    <w:rsid w:val="00A56103"/>
    <w:rsid w:val="00A60A24"/>
    <w:rsid w:val="00A61ABE"/>
    <w:rsid w:val="00A648D5"/>
    <w:rsid w:val="00A66C44"/>
    <w:rsid w:val="00A71313"/>
    <w:rsid w:val="00A74F65"/>
    <w:rsid w:val="00A80639"/>
    <w:rsid w:val="00A8243D"/>
    <w:rsid w:val="00A846B9"/>
    <w:rsid w:val="00A85C51"/>
    <w:rsid w:val="00A85FEF"/>
    <w:rsid w:val="00A86DFA"/>
    <w:rsid w:val="00A91452"/>
    <w:rsid w:val="00A96A77"/>
    <w:rsid w:val="00AA220D"/>
    <w:rsid w:val="00AA3130"/>
    <w:rsid w:val="00AA4961"/>
    <w:rsid w:val="00AB0991"/>
    <w:rsid w:val="00AB495E"/>
    <w:rsid w:val="00AB6098"/>
    <w:rsid w:val="00AC7D4F"/>
    <w:rsid w:val="00AD5F99"/>
    <w:rsid w:val="00AD77AE"/>
    <w:rsid w:val="00AE2F1A"/>
    <w:rsid w:val="00B02108"/>
    <w:rsid w:val="00B05F6D"/>
    <w:rsid w:val="00B10A2E"/>
    <w:rsid w:val="00B30077"/>
    <w:rsid w:val="00B31985"/>
    <w:rsid w:val="00B3788D"/>
    <w:rsid w:val="00B451EB"/>
    <w:rsid w:val="00B46141"/>
    <w:rsid w:val="00B550B8"/>
    <w:rsid w:val="00B57E27"/>
    <w:rsid w:val="00B6322D"/>
    <w:rsid w:val="00B633CE"/>
    <w:rsid w:val="00B6545B"/>
    <w:rsid w:val="00B7088D"/>
    <w:rsid w:val="00B7266F"/>
    <w:rsid w:val="00B77C3D"/>
    <w:rsid w:val="00B77F68"/>
    <w:rsid w:val="00B8218A"/>
    <w:rsid w:val="00B8394C"/>
    <w:rsid w:val="00B84174"/>
    <w:rsid w:val="00B873B4"/>
    <w:rsid w:val="00B87CFA"/>
    <w:rsid w:val="00B9082B"/>
    <w:rsid w:val="00B930F1"/>
    <w:rsid w:val="00B95F75"/>
    <w:rsid w:val="00BA0362"/>
    <w:rsid w:val="00BA0B45"/>
    <w:rsid w:val="00BA0DB6"/>
    <w:rsid w:val="00BA16C4"/>
    <w:rsid w:val="00BA293F"/>
    <w:rsid w:val="00BA31B5"/>
    <w:rsid w:val="00BA5CEF"/>
    <w:rsid w:val="00BA7606"/>
    <w:rsid w:val="00BA7F7E"/>
    <w:rsid w:val="00BB04A5"/>
    <w:rsid w:val="00BB1CEC"/>
    <w:rsid w:val="00BB3401"/>
    <w:rsid w:val="00BB4B4A"/>
    <w:rsid w:val="00BB5BC2"/>
    <w:rsid w:val="00BC22E0"/>
    <w:rsid w:val="00BC5FF8"/>
    <w:rsid w:val="00BC70C6"/>
    <w:rsid w:val="00BD014B"/>
    <w:rsid w:val="00BD2C6E"/>
    <w:rsid w:val="00BD350B"/>
    <w:rsid w:val="00BD596E"/>
    <w:rsid w:val="00BD5D53"/>
    <w:rsid w:val="00BE1BDA"/>
    <w:rsid w:val="00BE2754"/>
    <w:rsid w:val="00BE5E3D"/>
    <w:rsid w:val="00BF54F5"/>
    <w:rsid w:val="00BF6C3A"/>
    <w:rsid w:val="00BF7779"/>
    <w:rsid w:val="00C00729"/>
    <w:rsid w:val="00C0346D"/>
    <w:rsid w:val="00C03DB3"/>
    <w:rsid w:val="00C12318"/>
    <w:rsid w:val="00C2244C"/>
    <w:rsid w:val="00C2284E"/>
    <w:rsid w:val="00C230A7"/>
    <w:rsid w:val="00C2349A"/>
    <w:rsid w:val="00C24C78"/>
    <w:rsid w:val="00C25FCB"/>
    <w:rsid w:val="00C31BDB"/>
    <w:rsid w:val="00C3461C"/>
    <w:rsid w:val="00C37322"/>
    <w:rsid w:val="00C4173C"/>
    <w:rsid w:val="00C44C44"/>
    <w:rsid w:val="00C61692"/>
    <w:rsid w:val="00C64020"/>
    <w:rsid w:val="00C7054D"/>
    <w:rsid w:val="00C74369"/>
    <w:rsid w:val="00C756F5"/>
    <w:rsid w:val="00C75CE8"/>
    <w:rsid w:val="00C810D3"/>
    <w:rsid w:val="00C82A3B"/>
    <w:rsid w:val="00C8391C"/>
    <w:rsid w:val="00C84EF2"/>
    <w:rsid w:val="00C919F4"/>
    <w:rsid w:val="00C931A4"/>
    <w:rsid w:val="00C9624E"/>
    <w:rsid w:val="00C96656"/>
    <w:rsid w:val="00C97197"/>
    <w:rsid w:val="00CA630B"/>
    <w:rsid w:val="00CB3721"/>
    <w:rsid w:val="00CB6B77"/>
    <w:rsid w:val="00CC1C32"/>
    <w:rsid w:val="00CC1DA7"/>
    <w:rsid w:val="00CC4173"/>
    <w:rsid w:val="00CD16E2"/>
    <w:rsid w:val="00CD5AB4"/>
    <w:rsid w:val="00CD77A5"/>
    <w:rsid w:val="00CE038D"/>
    <w:rsid w:val="00CF0510"/>
    <w:rsid w:val="00CF24B9"/>
    <w:rsid w:val="00CF4F8B"/>
    <w:rsid w:val="00CF6399"/>
    <w:rsid w:val="00CF7BB9"/>
    <w:rsid w:val="00D00056"/>
    <w:rsid w:val="00D04815"/>
    <w:rsid w:val="00D05825"/>
    <w:rsid w:val="00D06FD1"/>
    <w:rsid w:val="00D11C62"/>
    <w:rsid w:val="00D127F2"/>
    <w:rsid w:val="00D15867"/>
    <w:rsid w:val="00D160AC"/>
    <w:rsid w:val="00D17B96"/>
    <w:rsid w:val="00D23D63"/>
    <w:rsid w:val="00D23E96"/>
    <w:rsid w:val="00D23FBA"/>
    <w:rsid w:val="00D2457B"/>
    <w:rsid w:val="00D32973"/>
    <w:rsid w:val="00D33EF7"/>
    <w:rsid w:val="00D42674"/>
    <w:rsid w:val="00D57239"/>
    <w:rsid w:val="00D63ECE"/>
    <w:rsid w:val="00D6617D"/>
    <w:rsid w:val="00D67FB4"/>
    <w:rsid w:val="00D712A8"/>
    <w:rsid w:val="00D72364"/>
    <w:rsid w:val="00D73564"/>
    <w:rsid w:val="00D76FB6"/>
    <w:rsid w:val="00D80952"/>
    <w:rsid w:val="00D82B65"/>
    <w:rsid w:val="00D86AFF"/>
    <w:rsid w:val="00D86C1C"/>
    <w:rsid w:val="00D91475"/>
    <w:rsid w:val="00D970BC"/>
    <w:rsid w:val="00D97440"/>
    <w:rsid w:val="00DA0355"/>
    <w:rsid w:val="00DA370D"/>
    <w:rsid w:val="00DB3A75"/>
    <w:rsid w:val="00DB61FD"/>
    <w:rsid w:val="00DC036E"/>
    <w:rsid w:val="00DC6E65"/>
    <w:rsid w:val="00DD39EE"/>
    <w:rsid w:val="00DE4C9C"/>
    <w:rsid w:val="00DE6825"/>
    <w:rsid w:val="00DF4EFF"/>
    <w:rsid w:val="00E00614"/>
    <w:rsid w:val="00E02253"/>
    <w:rsid w:val="00E06D84"/>
    <w:rsid w:val="00E1242D"/>
    <w:rsid w:val="00E13F8C"/>
    <w:rsid w:val="00E14B9C"/>
    <w:rsid w:val="00E17978"/>
    <w:rsid w:val="00E17C0C"/>
    <w:rsid w:val="00E17C43"/>
    <w:rsid w:val="00E25385"/>
    <w:rsid w:val="00E34C65"/>
    <w:rsid w:val="00E36D0B"/>
    <w:rsid w:val="00E37CC8"/>
    <w:rsid w:val="00E4128C"/>
    <w:rsid w:val="00E44C37"/>
    <w:rsid w:val="00E47C25"/>
    <w:rsid w:val="00E50844"/>
    <w:rsid w:val="00E53415"/>
    <w:rsid w:val="00E5444D"/>
    <w:rsid w:val="00E54DBC"/>
    <w:rsid w:val="00E649A7"/>
    <w:rsid w:val="00E65523"/>
    <w:rsid w:val="00E66B11"/>
    <w:rsid w:val="00E7328C"/>
    <w:rsid w:val="00E75CCC"/>
    <w:rsid w:val="00E76430"/>
    <w:rsid w:val="00E83958"/>
    <w:rsid w:val="00E85900"/>
    <w:rsid w:val="00E86676"/>
    <w:rsid w:val="00E97229"/>
    <w:rsid w:val="00EA199E"/>
    <w:rsid w:val="00EA549C"/>
    <w:rsid w:val="00EA78FB"/>
    <w:rsid w:val="00EB2383"/>
    <w:rsid w:val="00EB2B9B"/>
    <w:rsid w:val="00EC1593"/>
    <w:rsid w:val="00EC7783"/>
    <w:rsid w:val="00EC7889"/>
    <w:rsid w:val="00ED0471"/>
    <w:rsid w:val="00ED0E3A"/>
    <w:rsid w:val="00ED3DCB"/>
    <w:rsid w:val="00EE6760"/>
    <w:rsid w:val="00EE78DE"/>
    <w:rsid w:val="00EF0137"/>
    <w:rsid w:val="00F00317"/>
    <w:rsid w:val="00F00A8A"/>
    <w:rsid w:val="00F044C4"/>
    <w:rsid w:val="00F04D9F"/>
    <w:rsid w:val="00F13FD2"/>
    <w:rsid w:val="00F2028F"/>
    <w:rsid w:val="00F3447F"/>
    <w:rsid w:val="00F3798A"/>
    <w:rsid w:val="00F45700"/>
    <w:rsid w:val="00F47195"/>
    <w:rsid w:val="00F51B5A"/>
    <w:rsid w:val="00F55C75"/>
    <w:rsid w:val="00F65EC8"/>
    <w:rsid w:val="00F66C4F"/>
    <w:rsid w:val="00F67D78"/>
    <w:rsid w:val="00F726D2"/>
    <w:rsid w:val="00F74991"/>
    <w:rsid w:val="00F80021"/>
    <w:rsid w:val="00F83855"/>
    <w:rsid w:val="00F85CBB"/>
    <w:rsid w:val="00F87A1F"/>
    <w:rsid w:val="00F91ED4"/>
    <w:rsid w:val="00F9735A"/>
    <w:rsid w:val="00FA0071"/>
    <w:rsid w:val="00FA17D4"/>
    <w:rsid w:val="00FA3D65"/>
    <w:rsid w:val="00FA6CAE"/>
    <w:rsid w:val="00FB5BAF"/>
    <w:rsid w:val="00FB6903"/>
    <w:rsid w:val="00FC0495"/>
    <w:rsid w:val="00FC15AB"/>
    <w:rsid w:val="00FC521A"/>
    <w:rsid w:val="00FC5FA8"/>
    <w:rsid w:val="00FD2D49"/>
    <w:rsid w:val="00FD5868"/>
    <w:rsid w:val="00FE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95F75"/>
  </w:style>
  <w:style w:type="character" w:customStyle="1" w:styleId="rvts82">
    <w:name w:val="rvts82"/>
    <w:basedOn w:val="a0"/>
    <w:rsid w:val="00B95F75"/>
  </w:style>
  <w:style w:type="paragraph" w:customStyle="1" w:styleId="rvps12">
    <w:name w:val="rvps12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95F75"/>
  </w:style>
  <w:style w:type="character" w:customStyle="1" w:styleId="rvts37">
    <w:name w:val="rvts37"/>
    <w:basedOn w:val="a0"/>
    <w:rsid w:val="00B95F75"/>
  </w:style>
  <w:style w:type="paragraph" w:customStyle="1" w:styleId="rvps8">
    <w:name w:val="rvps8"/>
    <w:basedOn w:val="a"/>
    <w:rsid w:val="00B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16A"/>
    <w:rPr>
      <w:color w:val="0563C1" w:themeColor="hyperlink"/>
      <w:u w:val="single"/>
    </w:rPr>
  </w:style>
  <w:style w:type="paragraph" w:customStyle="1" w:styleId="rvps6">
    <w:name w:val="rvps6"/>
    <w:basedOn w:val="a"/>
    <w:rsid w:val="0044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4116A"/>
  </w:style>
  <w:style w:type="paragraph" w:customStyle="1" w:styleId="3">
    <w:name w:val="Знак Знак3"/>
    <w:basedOn w:val="a"/>
    <w:rsid w:val="00A33C38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a5">
    <w:name w:val="header"/>
    <w:basedOn w:val="a"/>
    <w:link w:val="a6"/>
    <w:uiPriority w:val="99"/>
    <w:unhideWhenUsed/>
    <w:rsid w:val="0047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6E7"/>
  </w:style>
  <w:style w:type="paragraph" w:styleId="a7">
    <w:name w:val="footer"/>
    <w:basedOn w:val="a"/>
    <w:link w:val="a8"/>
    <w:uiPriority w:val="99"/>
    <w:unhideWhenUsed/>
    <w:rsid w:val="0047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6E7"/>
  </w:style>
  <w:style w:type="paragraph" w:styleId="a9">
    <w:name w:val="Balloon Text"/>
    <w:basedOn w:val="a"/>
    <w:link w:val="aa"/>
    <w:uiPriority w:val="99"/>
    <w:semiHidden/>
    <w:unhideWhenUsed/>
    <w:rsid w:val="005C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B95"/>
    <w:rPr>
      <w:rFonts w:ascii="Segoe UI" w:hAnsi="Segoe UI" w:cs="Segoe UI"/>
      <w:sz w:val="18"/>
      <w:szCs w:val="18"/>
    </w:rPr>
  </w:style>
  <w:style w:type="paragraph" w:customStyle="1" w:styleId="ab">
    <w:name w:val="Нормальний текст"/>
    <w:basedOn w:val="a"/>
    <w:rsid w:val="00D33EF7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Normal (Web)"/>
    <w:basedOn w:val="a"/>
    <w:uiPriority w:val="99"/>
    <w:semiHidden/>
    <w:unhideWhenUsed/>
    <w:rsid w:val="0073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9556A1"/>
    <w:pPr>
      <w:spacing w:line="254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rvts11">
    <w:name w:val="rvts11"/>
    <w:basedOn w:val="a0"/>
    <w:rsid w:val="00B3788D"/>
  </w:style>
  <w:style w:type="character" w:customStyle="1" w:styleId="rvts0">
    <w:name w:val="rvts0"/>
    <w:basedOn w:val="a0"/>
    <w:rsid w:val="00A4398B"/>
  </w:style>
  <w:style w:type="character" w:customStyle="1" w:styleId="rvts46">
    <w:name w:val="rvts46"/>
    <w:basedOn w:val="a0"/>
    <w:rsid w:val="005211EE"/>
  </w:style>
  <w:style w:type="character" w:customStyle="1" w:styleId="st">
    <w:name w:val="st"/>
    <w:basedOn w:val="a0"/>
    <w:rsid w:val="008205C5"/>
  </w:style>
  <w:style w:type="character" w:styleId="ad">
    <w:name w:val="Emphasis"/>
    <w:basedOn w:val="a0"/>
    <w:uiPriority w:val="20"/>
    <w:qFormat/>
    <w:rsid w:val="00820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7FF2-BAE2-493F-9D73-7F2C80B3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Dobrynska</dc:creator>
  <cp:lastModifiedBy>Admin</cp:lastModifiedBy>
  <cp:revision>28</cp:revision>
  <cp:lastPrinted>2020-08-25T14:43:00Z</cp:lastPrinted>
  <dcterms:created xsi:type="dcterms:W3CDTF">2020-11-12T11:45:00Z</dcterms:created>
  <dcterms:modified xsi:type="dcterms:W3CDTF">2020-11-17T09:34:00Z</dcterms:modified>
</cp:coreProperties>
</file>