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A7" w:rsidRDefault="00902431" w:rsidP="00257596">
      <w:pPr>
        <w:shd w:val="clear" w:color="auto" w:fill="FFFFFF"/>
        <w:spacing w:before="150" w:after="150" w:line="240" w:lineRule="auto"/>
        <w:ind w:left="284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  <w:r w:rsidRPr="00AF42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F44A7" w:rsidRPr="00AF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проекту наказу Міністерства розвитку економіки, торгівлі та </w:t>
      </w:r>
      <w:r w:rsidR="00DF10EB" w:rsidRPr="00AF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сільського господарства України</w:t>
      </w:r>
      <w:r w:rsidR="005F44A7" w:rsidRPr="00AF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57596" w:rsidRPr="00257596">
        <w:rPr>
          <w:rFonts w:ascii="Times New Roman" w:hAnsi="Times New Roman"/>
          <w:b/>
          <w:sz w:val="28"/>
          <w:szCs w:val="28"/>
          <w:lang w:val="uk-UA" w:eastAsia="ru-RU"/>
        </w:rPr>
        <w:t>"</w:t>
      </w:r>
      <w:r w:rsidR="005F44A7" w:rsidRPr="0025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Порядку </w:t>
      </w:r>
      <w:r w:rsidR="00F309B8" w:rsidRPr="00F3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офіційного встановлення та/або підтримання статусу місця виробництва або виробничої ділянки, вільних від регульованих шкідливих організмів, позбавлення такого статусу, його поновлення та інші умови офіційного встановлення місця виробництва або виробничої ділянки</w:t>
      </w:r>
      <w:r w:rsidR="00257596" w:rsidRPr="00257596">
        <w:rPr>
          <w:rFonts w:ascii="Times New Roman" w:hAnsi="Times New Roman"/>
          <w:b/>
          <w:sz w:val="28"/>
          <w:szCs w:val="28"/>
          <w:lang w:val="uk-UA" w:eastAsia="ru-RU"/>
        </w:rPr>
        <w:t>"</w:t>
      </w:r>
    </w:p>
    <w:p w:rsidR="005F44A7" w:rsidRDefault="005F44A7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1976"/>
      <w:bookmarkEnd w:id="0"/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 Резюме</w:t>
      </w:r>
    </w:p>
    <w:p w:rsidR="005F44A7" w:rsidRDefault="00980DA7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n1977"/>
      <w:bookmarkEnd w:id="1"/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прийняття </w:t>
      </w:r>
      <w:r w:rsidR="00F30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8A0676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дерегуляція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5F44A7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фітосанітарній</w:t>
      </w:r>
      <w:proofErr w:type="spellEnd"/>
      <w:r w:rsidR="005F44A7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сфері при встановленні, підтрим</w:t>
      </w:r>
      <w:r w:rsidR="00F30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анні</w:t>
      </w:r>
      <w:r w:rsidR="005F44A7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поновленні статусу місця виробництва або виробничої ділянок, вільних від шкідливих організмів відповідно до </w:t>
      </w:r>
      <w:r w:rsidR="004A062A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статті 31 Закону України 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="004A062A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карантин рослин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постанови Кабінету Міністрів України </w:t>
      </w:r>
      <w:r w:rsidR="00F707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15 листопада 2019 р</w:t>
      </w:r>
      <w:r w:rsidR="00257596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E359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1177 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Деякі питання реалізації Закону України 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="00DF10E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карантин рослин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="00F309B8" w:rsidRPr="00A7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1978"/>
      <w:bookmarkEnd w:id="2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 Проблема, яка потребує розв’язання</w:t>
      </w:r>
    </w:p>
    <w:p w:rsidR="004A062A" w:rsidRDefault="004A062A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n1979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Досить частою практикою 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міжнародній торгівлі аграрною продукцією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офіційне встановлення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-імпор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тером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вимоги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експорт сільськогосподарської продукції 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країни-експортера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дозволяється виключно з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 виробництва або виробничої ділянки, вільних від регульованих шкідливих організмів</w:t>
      </w:r>
      <w:r w:rsid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F6630" w:rsidRDefault="007F6630" w:rsidP="00D7522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чинного Порядку офіційного встановлення та/або підтримання статусу місця виробництва або виробничої ділянки, вільних від регульованих шкідливих організмів, позбавлення такого статусу, його поновлення та інші умови офіційного встановлення місця виробництва або виробничої ділянки, </w:t>
      </w:r>
      <w:r w:rsidR="00E20D19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затверджений наказом Міністерства аграрної політики та продовольства України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07 серпня 2012 року №</w:t>
      </w:r>
      <w:r w:rsidR="00E359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487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зареєстрова</w:t>
      </w:r>
      <w:r w:rsidR="00CF6B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bookmarkStart w:id="4" w:name="_GoBack"/>
      <w:bookmarkEnd w:id="4"/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Міністерстві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юстиції України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28 серпня 2012 р</w:t>
      </w:r>
      <w:r w:rsid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№</w:t>
      </w:r>
      <w:r w:rsid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1444/21756</w:t>
      </w:r>
      <w:r w:rsid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75224" w:rsidRPr="00D75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75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Порядок) 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 на вимогу особи, яка займається виробництвом об</w:t>
      </w:r>
      <w:r w:rsidR="00257596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 регулювання.</w:t>
      </w:r>
    </w:p>
    <w:p w:rsidR="004A062A" w:rsidRDefault="007F6630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Водночас, зазначеним </w:t>
      </w:r>
      <w:r w:rsidR="00F15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оряд</w:t>
      </w:r>
      <w:r w:rsid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можливість уповноваження особою,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займається виробництвом об</w:t>
      </w:r>
      <w:r w:rsidR="00956522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 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іншій особі щодо 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документів на встановлення, поновлення або підтримання статусу місця виробництва, виробничої ділянки, вільних від регульованих шкідливих організмів або шкідливих організмів, а також здійснення будь-яких дій, пов’язаних із таким встановленням.</w:t>
      </w:r>
    </w:p>
    <w:p w:rsidR="007F6630" w:rsidRPr="004A062A" w:rsidRDefault="007F6630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Законодавче закріплення можливості 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уповноваження особою,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займається виробництвом об</w:t>
      </w:r>
      <w:r w:rsidR="00257596" w:rsidRPr="0025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25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 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іншій особі щодо 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документів на встановлення, поновлення або підтримання статусу місця виробництва, виробничої ділянки, вільних від регульованих шкідливих організмів або шкідливих організмів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спростить 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виробників сільськогосподарської продукції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проходження усіх вимог</w:t>
      </w:r>
      <w:r w:rsidR="00BC07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які необхідні для встановлення таких ділянок. </w:t>
      </w:r>
    </w:p>
    <w:p w:rsidR="004E0CB9" w:rsidRDefault="00BC077A" w:rsidP="004E0CB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того, відповідно до чинного Порядку </w:t>
      </w:r>
      <w:r w:rsid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особа подає, окрім заяви </w:t>
      </w:r>
      <w:r w:rsidR="008A6509" w:rsidRP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встановлення та/або підтримання офіційного статусу місця виробництва або виробничої ділянки, вільних від регульованих шкідливих організмів</w:t>
      </w:r>
      <w:r w:rsid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8A6509" w:rsidRP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</w:t>
      </w:r>
      <w:r w:rsid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A6509" w:rsidRP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підтверджує внесення плати за</w:t>
      </w:r>
      <w:r w:rsid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відповідне</w:t>
      </w:r>
      <w:r w:rsidR="008A6509" w:rsidRP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обстеження</w:t>
      </w:r>
      <w:r w:rsidR="008A65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ряд інших документів, подача яких не є достатньо доцільною, оскільки їх опрацювання не відноситься до компетенції центрального органу виконавчої влади, що реалізує політику у сфері захисту та карантину рослин.</w:t>
      </w:r>
    </w:p>
    <w:p w:rsidR="004A062A" w:rsidRDefault="008A6509" w:rsidP="004E0CB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Зокрема, </w:t>
      </w:r>
      <w:r w:rsid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 має надати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0CB9"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копію плану земельної ділянки (витягу з документації із землеустрою), на якій планується офіційне встановлення місця виробництва або виробничої ділянки, вільних від регульованих шкідливих орга</w:t>
      </w:r>
      <w:r w:rsid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нізмів та </w:t>
      </w:r>
      <w:r w:rsidR="004E0CB9"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копію документа, який засвідчує право власності або користування </w:t>
      </w:r>
      <w:r w:rsidR="0025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4E0CB9"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5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0CB9"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числі оренди) на земельну ділянку, на якій планується офіційне </w:t>
      </w:r>
      <w:r w:rsidR="004E0CB9"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встановлення місця виробництва або виробничої ділянки, вільних від ре</w:t>
      </w:r>
      <w:r w:rsid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гульованих шкідливих організмів.</w:t>
      </w:r>
    </w:p>
    <w:p w:rsidR="008A6509" w:rsidRDefault="004E0CB9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того, потребується спрощення процедури внесення та зберігання інформації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 об’єктів регулювання шляхом надання можливості особі на вибір </w:t>
      </w:r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або вести журнал про </w:t>
      </w:r>
      <w:proofErr w:type="spellStart"/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фітосанітарний</w:t>
      </w:r>
      <w:proofErr w:type="spellEnd"/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 посівів (посадок), сільськогосподарських рослин, продуктів рослинного походження та інших об’єктів регулювання, які вирощуються, зберігаються, вивозяться та/або ввозяться з та/або в місця виробництва або виробничої ділянки, вільних від регульованих шкідливих організмів або шкідливих організмів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заносити до нього інформацію про </w:t>
      </w:r>
      <w:proofErr w:type="spellStart"/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фітосанітарний</w:t>
      </w:r>
      <w:proofErr w:type="spellEnd"/>
      <w:r w:rsidRP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 об’єктів регулювання, щодо яких встановлено статус місця виробництва або виробничої ділянки, вільних від регульованих шкідливих організмів, або збирати таку інформацію в паперовому або електронному вигляді в довільній формі та зберігати щонайменше протягом року.</w:t>
      </w:r>
    </w:p>
    <w:p w:rsidR="00AC6186" w:rsidRDefault="00AC6186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Водночас, враховуючи, що офіційне встановлення</w:t>
      </w:r>
      <w:r w:rsidRPr="00AC61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 виробництва або виробничої ділянки, вільних від регульованих шкідливих організмів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вимогою окремих країн-імпортерів при експорті до них сільськогосподарської продукції з України, необхідно розширити дію </w:t>
      </w:r>
      <w:r w:rsidR="00F30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шкідливі організми, а не лише ті, які є регульованими в Україні. Зокрема, пропонується закріпити можливість офіційного встановлення</w:t>
      </w:r>
      <w:r w:rsidRPr="00AC61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 виробництва або виробничої ділянки, вільних від шкідливих організмів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тобто тих, які є регульованими в країні-імпортері.</w:t>
      </w:r>
    </w:p>
    <w:p w:rsidR="00E20D19" w:rsidRDefault="00E20D19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того, проектом </w:t>
      </w:r>
      <w:r w:rsidR="00F30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пропонується приведення його норм у відповідність до постанови Кабінету Міністрів України від 15 листопада 2019 р</w:t>
      </w:r>
      <w:r w:rsidR="00A55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55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1177 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Деякі питання реалізації Закону України 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карантин рослин</w:t>
      </w:r>
      <w:r w:rsidR="00AF42D1" w:rsidRPr="00FF6E0E"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частині вимог до сейф-пакетів, відбору зразків та вибіркового контролю за проведенням </w:t>
      </w:r>
      <w:proofErr w:type="spellStart"/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фітосанітарної</w:t>
      </w:r>
      <w:proofErr w:type="spellEnd"/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експертизи (аналізів).</w:t>
      </w:r>
    </w:p>
    <w:p w:rsidR="00A70B13" w:rsidRDefault="00A70B13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3. Суть проекту </w:t>
      </w:r>
      <w:proofErr w:type="spellStart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:rsidR="00287CE4" w:rsidRDefault="000D37F6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n1981"/>
      <w:bookmarkEnd w:id="5"/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Проектом </w:t>
      </w:r>
      <w:r w:rsidR="00F30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пропонується </w:t>
      </w:r>
      <w:r w:rsid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спрощення</w:t>
      </w:r>
      <w:r w:rsidR="002B25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41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порядку </w:t>
      </w:r>
      <w:r w:rsidR="004E0C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встановленні, підтримці та поновленні статусу місця виробництва або виробничої ділянок, вільних від шкідливих організмів</w:t>
      </w:r>
      <w:r w:rsidR="002B41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B41B1" w:rsidRDefault="00287CE4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Зокрема пропон</w:t>
      </w:r>
      <w:r w:rsidR="002B41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ується врегулювати питання щодо:</w:t>
      </w:r>
    </w:p>
    <w:p w:rsidR="002B41B1" w:rsidRDefault="002B41B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закріплення можливості надання уповноваження особою, 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займається виробництвом об</w:t>
      </w:r>
      <w:r w:rsidR="0044732E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4A0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 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іншій особі щодо 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F6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документів на встановлення, поновлення або підтримання статусу місця виробництва, виробничої ділянки, вільних від регульованих шкідливих організмів або шкідливих організмів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якісно спростить для виробників сільськогосподарської продукції проходження усіх вимог, які необхідні для встановлення таких ділянок;</w:t>
      </w:r>
    </w:p>
    <w:p w:rsidR="002B41B1" w:rsidRDefault="002B41B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оновлення </w:t>
      </w:r>
      <w:r w:rsidRPr="00A7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переліку документів,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подає особа з метою </w:t>
      </w:r>
      <w:r w:rsidRPr="002B41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офіційного встановлення статусу місця виробництва або виробничої ділянки, вільних від регульованих шкідливих організмів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41B1" w:rsidRDefault="002B41B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спрощення процедури внесення та зберігання інформації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</w:t>
      </w:r>
      <w:r w:rsidR="00AC61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арний</w:t>
      </w:r>
      <w:proofErr w:type="spellEnd"/>
      <w:r w:rsidR="00AC61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 об’єктів регулювання;</w:t>
      </w:r>
    </w:p>
    <w:p w:rsidR="00AC6186" w:rsidRDefault="00AC6186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офіційного</w:t>
      </w:r>
      <w:r w:rsidRPr="00AC61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встановлення та/або підтримання статусу місця виробництва або виробничої ділянки, вільних від регульованих шкідливих організмів або шкідливих організмів</w:t>
      </w:r>
      <w:r w:rsidR="00E20D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20D19" w:rsidRDefault="00E20D19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вимог до сейф-пакетів, відбору зразків та вибіркового контролю за проведенням </w:t>
      </w:r>
      <w:proofErr w:type="spellStart"/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фітосанітарної</w:t>
      </w:r>
      <w:proofErr w:type="spellEnd"/>
      <w:r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експертизи (аналізів).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6" w:name="n1982"/>
      <w:bookmarkEnd w:id="6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 Вплив на бюджет</w:t>
      </w:r>
    </w:p>
    <w:p w:rsidR="005902FF" w:rsidRDefault="005902FF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7" w:name="n1983"/>
      <w:bookmarkStart w:id="8" w:name="n1985"/>
      <w:bookmarkEnd w:id="7"/>
      <w:bookmarkEnd w:id="8"/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Реалізація положень проекту </w:t>
      </w:r>
      <w:r w:rsidR="00F707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потребує фінансування з державного чи місцевого бюджетів.</w:t>
      </w:r>
    </w:p>
    <w:p w:rsidR="00A70B13" w:rsidRDefault="00A70B13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5. Позиція заінтересованих сторін</w:t>
      </w:r>
    </w:p>
    <w:p w:rsidR="00071249" w:rsidRPr="00071249" w:rsidRDefault="00071249" w:rsidP="000712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9" w:name="n1986"/>
      <w:bookmarkEnd w:id="9"/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Реалізація проекту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матиме впливу на інтереси окремих верств населення та суб’єктів господарювання. </w:t>
      </w:r>
    </w:p>
    <w:p w:rsidR="00071249" w:rsidRPr="00071249" w:rsidRDefault="00071249" w:rsidP="000712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Проект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стосується соціально-трудової сфери та не потребує погодження із соціальними партнерами.</w:t>
      </w:r>
    </w:p>
    <w:p w:rsidR="00071249" w:rsidRPr="00071249" w:rsidRDefault="00071249" w:rsidP="000712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Проект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0712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діяльності.</w:t>
      </w:r>
    </w:p>
    <w:p w:rsidR="00902431" w:rsidRDefault="005902FF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отримання зворотного зв’язку від зацікавлених осіб прое</w:t>
      </w:r>
      <w:r w:rsidR="004517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="004517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оприлюднено на офіційному веб-сайті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Міністерства розвитку економіки, торгівлі та сільського господарства України </w:t>
      </w:r>
      <w:r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4469DD"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www.me.gov.ua</w:t>
      </w:r>
      <w:r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розділ </w:t>
      </w:r>
      <w:r w:rsidR="00AF42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69DD"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Документи, підрозділ Обговорення проектів документів</w:t>
      </w:r>
      <w:r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n1990"/>
      <w:bookmarkEnd w:id="10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 Прогноз впливу</w:t>
      </w:r>
    </w:p>
    <w:p w:rsidR="00731BF4" w:rsidRPr="00731BF4" w:rsidRDefault="00731BF4" w:rsidP="00071249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991"/>
      <w:bookmarkEnd w:id="11"/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За предметом правового регулювання </w:t>
      </w: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прое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матиме позитивний вплив на ринкове середовище, за рахунок зменшення бар’єрів при експорті </w:t>
      </w:r>
      <w:r w:rsidR="002B41B1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сільськогосподарської продукції 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з України</w:t>
      </w: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,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</w:t>
      </w:r>
      <w:r w:rsidR="003706DF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та </w:t>
      </w:r>
      <w:r w:rsidRPr="00731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інтереси держави.</w:t>
      </w:r>
    </w:p>
    <w:p w:rsidR="00731BF4" w:rsidRPr="00731BF4" w:rsidRDefault="00731BF4" w:rsidP="00071249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</w:pP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На розвиток регіонів, ринок праці, громадське здоров’я та інші сфери суспільних відносин, екологію і навколишнє середовище про</w:t>
      </w:r>
      <w:r w:rsidR="003706DF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е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="00ED03E6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за предметом правового регулювання впливу не матиме.</w:t>
      </w:r>
    </w:p>
    <w:p w:rsidR="003706DF" w:rsidRPr="00731BF4" w:rsidRDefault="003706DF" w:rsidP="00071249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</w:pP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Прогноз впливу реалізації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на ключові інтереси заінтересованих</w:t>
      </w: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сторін внаслідок прийняття прое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кту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наведено у додатку 1 до пояснювальної записки (додається). </w:t>
      </w:r>
    </w:p>
    <w:p w:rsidR="00731BF4" w:rsidRPr="00731BF4" w:rsidRDefault="00071249" w:rsidP="00071249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>Прое</w:t>
      </w:r>
      <w:r w:rsidR="00731BF4"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="00731BF4" w:rsidRPr="00731BF4">
        <w:rPr>
          <w:rFonts w:ascii="Times New Roman" w:eastAsia="Times New Roman" w:hAnsi="Times New Roman" w:cs="Times New Roman"/>
          <w:bCs/>
          <w:w w:val="102"/>
          <w:sz w:val="28"/>
          <w:szCs w:val="28"/>
          <w:lang w:val="uk-UA" w:eastAsia="ru-RU"/>
        </w:rPr>
        <w:t xml:space="preserve"> не потребує проведення консультацій з громадськістю.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2" w:name="n1992"/>
      <w:bookmarkEnd w:id="12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 Позиція заінтересованих органів</w:t>
      </w:r>
    </w:p>
    <w:p w:rsidR="004469DD" w:rsidRPr="00603219" w:rsidRDefault="003706DF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n1993"/>
      <w:bookmarkStart w:id="14" w:name="n1994"/>
      <w:bookmarkEnd w:id="13"/>
      <w:bookmarkEnd w:id="14"/>
      <w:r w:rsidRPr="003706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3706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погодження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Міністерством фінансів України, Міністерством</w:t>
      </w:r>
      <w:r w:rsidR="004517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цифрової трансформації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Державною службою</w:t>
      </w:r>
      <w:r w:rsidR="0087758A"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з </w:t>
      </w:r>
      <w:r w:rsidR="0087758A"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питань безпечності харчових продуктів та захисту </w:t>
      </w:r>
      <w:r w:rsidR="0087758A"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споживачів</w:t>
      </w:r>
      <w:r w:rsidR="00C13A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061C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регуляторною службою України та підлягає державній реєстрації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</w:t>
      </w:r>
      <w:r w:rsidR="00061C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юстиції України</w:t>
      </w:r>
      <w:r w:rsidR="004469DD" w:rsidRPr="00540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8. Ризики та обмеження</w:t>
      </w:r>
    </w:p>
    <w:p w:rsidR="00B0257C" w:rsidRPr="00603219" w:rsidRDefault="00B0257C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5" w:name="n1995"/>
      <w:bookmarkStart w:id="16" w:name="n1997"/>
      <w:bookmarkEnd w:id="15"/>
      <w:bookmarkEnd w:id="16"/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суперечить Конвенції про захист прав людини і основоположних свобод оскільки не стосується статей Конвенції, а також прав та свобод, гарантованих Конвенцією.</w:t>
      </w:r>
    </w:p>
    <w:p w:rsidR="00B0257C" w:rsidRPr="00603219" w:rsidRDefault="00B0257C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проекті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відсутні положення, що порушують принцип забезпечення рівних прав та можливостей жінок і чоловіків, правила і процедури, що можуть містити ризики вчинення корупційних правопорушень та порушень, пов’язаних з корупцією, не створює підстав для дискримінації.</w:t>
      </w: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02431" w:rsidRPr="00603219" w:rsidRDefault="00902431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9. Підстава розроблення проекту </w:t>
      </w:r>
      <w:proofErr w:type="spellStart"/>
      <w:r w:rsidRPr="0060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:rsidR="00902431" w:rsidRPr="00603219" w:rsidRDefault="00B0257C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7" w:name="n1998"/>
      <w:bookmarkEnd w:id="17"/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902431"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роект </w:t>
      </w:r>
      <w:r w:rsidR="00F3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</w:t>
      </w:r>
      <w:r w:rsidR="00902431"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розроблено 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вимогу </w:t>
      </w:r>
      <w:r w:rsidR="0045614B" w:rsidRPr="000D11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статті 31 Закону України "Про карантин рослин"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удосконалення порядку </w:t>
      </w:r>
      <w:r w:rsidR="0045614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5614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підтрим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="0045614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поновленн</w:t>
      </w:r>
      <w:r w:rsidR="00456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45614B" w:rsidRPr="00FF6E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статусу місця виробництва або виробничої ділянок, вільних від шкідливих організмів</w:t>
      </w:r>
      <w:r w:rsidR="00536903" w:rsidRPr="00603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0257C" w:rsidRPr="00603219" w:rsidRDefault="00B0257C" w:rsidP="0007124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9"/>
        <w:gridCol w:w="2339"/>
        <w:gridCol w:w="3053"/>
      </w:tblGrid>
      <w:tr w:rsidR="00902431" w:rsidRPr="00603219" w:rsidTr="00B0257C">
        <w:tc>
          <w:tcPr>
            <w:tcW w:w="2250" w:type="pct"/>
            <w:shd w:val="clear" w:color="auto" w:fill="auto"/>
            <w:hideMark/>
          </w:tcPr>
          <w:p w:rsidR="00902431" w:rsidRPr="00603219" w:rsidRDefault="002B41B1" w:rsidP="003611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8" w:name="n1999"/>
            <w:bookmarkEnd w:id="1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Міністр</w:t>
            </w:r>
            <w:r w:rsidR="00F6762B" w:rsidRPr="00603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розвитку економіки, торгівлі та сільського господарства України</w:t>
            </w:r>
          </w:p>
        </w:tc>
        <w:tc>
          <w:tcPr>
            <w:tcW w:w="1150" w:type="pct"/>
            <w:shd w:val="clear" w:color="auto" w:fill="auto"/>
            <w:hideMark/>
          </w:tcPr>
          <w:p w:rsidR="00F6762B" w:rsidRPr="00603219" w:rsidRDefault="00F6762B" w:rsidP="003611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F7952" w:rsidRPr="00AF7952" w:rsidRDefault="00AF7952" w:rsidP="003611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val="uk-UA"/>
              </w:rPr>
            </w:pPr>
          </w:p>
          <w:p w:rsidR="00902431" w:rsidRPr="00603219" w:rsidRDefault="00902431" w:rsidP="003611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  <w:shd w:val="clear" w:color="auto" w:fill="auto"/>
            <w:hideMark/>
          </w:tcPr>
          <w:p w:rsidR="00F6762B" w:rsidRPr="00AF7952" w:rsidRDefault="00F6762B" w:rsidP="003611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/>
              </w:rPr>
            </w:pPr>
          </w:p>
          <w:p w:rsidR="00F6762B" w:rsidRPr="00603219" w:rsidRDefault="00F6762B" w:rsidP="003611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2431" w:rsidRPr="00603219" w:rsidRDefault="002B41B1" w:rsidP="002B41B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Ігор</w:t>
            </w:r>
            <w:r w:rsidR="00B0257C" w:rsidRPr="00603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ПЕТРАШКО</w:t>
            </w:r>
          </w:p>
        </w:tc>
      </w:tr>
      <w:tr w:rsidR="00902431" w:rsidRPr="00603219" w:rsidTr="00B0257C">
        <w:tc>
          <w:tcPr>
            <w:tcW w:w="2250" w:type="pct"/>
            <w:shd w:val="clear" w:color="auto" w:fill="auto"/>
            <w:hideMark/>
          </w:tcPr>
          <w:p w:rsidR="00902431" w:rsidRPr="00603219" w:rsidRDefault="00902431" w:rsidP="00633BD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32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 ____________ 20</w:t>
            </w:r>
            <w:r w:rsidR="00AF79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032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50" w:type="pct"/>
            <w:shd w:val="clear" w:color="auto" w:fill="auto"/>
            <w:hideMark/>
          </w:tcPr>
          <w:p w:rsidR="00902431" w:rsidRPr="00603219" w:rsidRDefault="00902431" w:rsidP="000712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  <w:shd w:val="clear" w:color="auto" w:fill="auto"/>
            <w:hideMark/>
          </w:tcPr>
          <w:p w:rsidR="00902431" w:rsidRPr="00603219" w:rsidRDefault="00902431" w:rsidP="000712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32A3" w:rsidRPr="00980DA7" w:rsidRDefault="00C032A3" w:rsidP="00071249">
      <w:pPr>
        <w:spacing w:after="120" w:line="360" w:lineRule="auto"/>
        <w:rPr>
          <w:lang w:val="uk-UA"/>
        </w:rPr>
      </w:pPr>
    </w:p>
    <w:p w:rsidR="00071249" w:rsidRPr="00980DA7" w:rsidRDefault="00071249">
      <w:pPr>
        <w:spacing w:after="120" w:line="360" w:lineRule="auto"/>
        <w:rPr>
          <w:lang w:val="uk-UA"/>
        </w:rPr>
      </w:pPr>
    </w:p>
    <w:sectPr w:rsidR="00071249" w:rsidRPr="00980DA7" w:rsidSect="00361127">
      <w:headerReference w:type="default" r:id="rId6"/>
      <w:pgSz w:w="12240" w:h="15840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F8" w:rsidRDefault="002B66F8" w:rsidP="00361127">
      <w:pPr>
        <w:spacing w:after="0" w:line="240" w:lineRule="auto"/>
      </w:pPr>
      <w:r>
        <w:separator/>
      </w:r>
    </w:p>
  </w:endnote>
  <w:endnote w:type="continuationSeparator" w:id="0">
    <w:p w:rsidR="002B66F8" w:rsidRDefault="002B66F8" w:rsidP="0036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F8" w:rsidRDefault="002B66F8" w:rsidP="00361127">
      <w:pPr>
        <w:spacing w:after="0" w:line="240" w:lineRule="auto"/>
      </w:pPr>
      <w:r>
        <w:separator/>
      </w:r>
    </w:p>
  </w:footnote>
  <w:footnote w:type="continuationSeparator" w:id="0">
    <w:p w:rsidR="002B66F8" w:rsidRDefault="002B66F8" w:rsidP="0036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686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2C4" w:rsidRPr="00E447A6" w:rsidRDefault="00C152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7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8E" w:rsidRPr="00CF6B8E">
          <w:rPr>
            <w:rFonts w:ascii="Times New Roman" w:hAnsi="Times New Roman" w:cs="Times New Roman"/>
            <w:noProof/>
            <w:sz w:val="24"/>
            <w:szCs w:val="24"/>
            <w:lang w:val="uk-UA"/>
          </w:rPr>
          <w:t>6</w:t>
        </w:r>
        <w:r w:rsidRPr="00E44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2C4" w:rsidRDefault="00C152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1"/>
    <w:rsid w:val="00061C52"/>
    <w:rsid w:val="00071249"/>
    <w:rsid w:val="000D1119"/>
    <w:rsid w:val="000D37F6"/>
    <w:rsid w:val="0013081C"/>
    <w:rsid w:val="0013311D"/>
    <w:rsid w:val="00176689"/>
    <w:rsid w:val="001813A3"/>
    <w:rsid w:val="001A57DE"/>
    <w:rsid w:val="001A66CB"/>
    <w:rsid w:val="00257596"/>
    <w:rsid w:val="00261511"/>
    <w:rsid w:val="00287CE4"/>
    <w:rsid w:val="00290528"/>
    <w:rsid w:val="002A14EB"/>
    <w:rsid w:val="002B2517"/>
    <w:rsid w:val="002B41B1"/>
    <w:rsid w:val="002B66F8"/>
    <w:rsid w:val="00337BF8"/>
    <w:rsid w:val="00361127"/>
    <w:rsid w:val="003706DF"/>
    <w:rsid w:val="00372C18"/>
    <w:rsid w:val="003E1C5B"/>
    <w:rsid w:val="003E2F1B"/>
    <w:rsid w:val="004330CE"/>
    <w:rsid w:val="004469DD"/>
    <w:rsid w:val="0044732E"/>
    <w:rsid w:val="004517A2"/>
    <w:rsid w:val="0045614B"/>
    <w:rsid w:val="004A062A"/>
    <w:rsid w:val="004A40C8"/>
    <w:rsid w:val="004E0CB9"/>
    <w:rsid w:val="00536903"/>
    <w:rsid w:val="0054049B"/>
    <w:rsid w:val="005902FF"/>
    <w:rsid w:val="005B756F"/>
    <w:rsid w:val="005F44A7"/>
    <w:rsid w:val="00603219"/>
    <w:rsid w:val="00633BDB"/>
    <w:rsid w:val="00657B79"/>
    <w:rsid w:val="00731BF4"/>
    <w:rsid w:val="00755530"/>
    <w:rsid w:val="007D61B6"/>
    <w:rsid w:val="007F6630"/>
    <w:rsid w:val="00827647"/>
    <w:rsid w:val="00853F13"/>
    <w:rsid w:val="0087758A"/>
    <w:rsid w:val="00891858"/>
    <w:rsid w:val="008A0676"/>
    <w:rsid w:val="008A6509"/>
    <w:rsid w:val="008F1142"/>
    <w:rsid w:val="0090113F"/>
    <w:rsid w:val="009020A1"/>
    <w:rsid w:val="00902431"/>
    <w:rsid w:val="00914162"/>
    <w:rsid w:val="00956522"/>
    <w:rsid w:val="00980DA7"/>
    <w:rsid w:val="009C4636"/>
    <w:rsid w:val="00A552C1"/>
    <w:rsid w:val="00A70B13"/>
    <w:rsid w:val="00AC6186"/>
    <w:rsid w:val="00AF42D1"/>
    <w:rsid w:val="00AF7952"/>
    <w:rsid w:val="00B0257C"/>
    <w:rsid w:val="00B3238A"/>
    <w:rsid w:val="00B81008"/>
    <w:rsid w:val="00BC077A"/>
    <w:rsid w:val="00C02DCC"/>
    <w:rsid w:val="00C032A3"/>
    <w:rsid w:val="00C13A48"/>
    <w:rsid w:val="00C152C4"/>
    <w:rsid w:val="00CF6B8E"/>
    <w:rsid w:val="00D212EB"/>
    <w:rsid w:val="00D75224"/>
    <w:rsid w:val="00DA5DEC"/>
    <w:rsid w:val="00DC6E05"/>
    <w:rsid w:val="00DF10EB"/>
    <w:rsid w:val="00E20D19"/>
    <w:rsid w:val="00E35971"/>
    <w:rsid w:val="00E447A6"/>
    <w:rsid w:val="00E534F9"/>
    <w:rsid w:val="00ED03E6"/>
    <w:rsid w:val="00F15A73"/>
    <w:rsid w:val="00F309B8"/>
    <w:rsid w:val="00F6762B"/>
    <w:rsid w:val="00F70754"/>
    <w:rsid w:val="00FA6D7D"/>
    <w:rsid w:val="00FE69F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E3AA"/>
  <w15:chartTrackingRefBased/>
  <w15:docId w15:val="{4AC847B9-603D-4639-969F-959692F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1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127"/>
  </w:style>
  <w:style w:type="paragraph" w:styleId="a7">
    <w:name w:val="footer"/>
    <w:basedOn w:val="a"/>
    <w:link w:val="a8"/>
    <w:uiPriority w:val="99"/>
    <w:unhideWhenUsed/>
    <w:rsid w:val="003611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СПАШИБА Оксана Василівна</dc:creator>
  <cp:keywords/>
  <dc:description/>
  <cp:lastModifiedBy>Admin</cp:lastModifiedBy>
  <cp:revision>13</cp:revision>
  <cp:lastPrinted>2020-03-05T13:19:00Z</cp:lastPrinted>
  <dcterms:created xsi:type="dcterms:W3CDTF">2020-04-08T07:43:00Z</dcterms:created>
  <dcterms:modified xsi:type="dcterms:W3CDTF">2020-05-19T07:23:00Z</dcterms:modified>
</cp:coreProperties>
</file>