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1E" w:rsidRDefault="004E7CCA">
      <w:pPr>
        <w:jc w:val="center"/>
        <w:rPr>
          <w:rFonts w:hint="eastAsia"/>
        </w:rPr>
      </w:pPr>
      <w:bookmarkStart w:id="0" w:name="__DdeLink__6192_1755487244"/>
      <w:bookmarkEnd w:id="0"/>
      <w:proofErr w:type="spellStart"/>
      <w:r>
        <w:rPr>
          <w:rFonts w:ascii="Times New Roman" w:hAnsi="Times New Roman"/>
          <w:b/>
          <w:bCs/>
        </w:rPr>
        <w:t>Порівняльна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таблиця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06621E" w:rsidRDefault="004E7CCA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до </w:t>
      </w:r>
      <w:proofErr w:type="spellStart"/>
      <w:r>
        <w:rPr>
          <w:rFonts w:ascii="Times New Roman" w:hAnsi="Times New Roman"/>
          <w:b/>
          <w:bCs/>
        </w:rPr>
        <w:t>проєкту</w:t>
      </w:r>
      <w:proofErr w:type="spellEnd"/>
      <w:r>
        <w:rPr>
          <w:rFonts w:ascii="Times New Roman" w:hAnsi="Times New Roman"/>
          <w:b/>
          <w:bCs/>
        </w:rPr>
        <w:t xml:space="preserve"> Закону </w:t>
      </w:r>
      <w:proofErr w:type="spellStart"/>
      <w:r>
        <w:rPr>
          <w:rFonts w:ascii="Times New Roman" w:hAnsi="Times New Roman"/>
          <w:b/>
          <w:bCs/>
        </w:rPr>
        <w:t>України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80190B">
        <w:rPr>
          <w:rFonts w:ascii="Times New Roman" w:hAnsi="Times New Roman"/>
          <w:b/>
          <w:bCs/>
        </w:rPr>
        <w:t>“</w:t>
      </w:r>
      <w:proofErr w:type="gramStart"/>
      <w:r>
        <w:rPr>
          <w:rFonts w:ascii="Times New Roman" w:hAnsi="Times New Roman"/>
          <w:b/>
          <w:bCs/>
        </w:rPr>
        <w:t xml:space="preserve">Про  </w:t>
      </w:r>
      <w:proofErr w:type="spellStart"/>
      <w:r>
        <w:rPr>
          <w:rFonts w:ascii="Times New Roman" w:hAnsi="Times New Roman"/>
          <w:b/>
          <w:bCs/>
        </w:rPr>
        <w:t>внесення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змін</w:t>
      </w:r>
      <w:proofErr w:type="spellEnd"/>
      <w:r>
        <w:rPr>
          <w:rFonts w:ascii="Times New Roman" w:hAnsi="Times New Roman"/>
          <w:b/>
          <w:bCs/>
        </w:rPr>
        <w:t xml:space="preserve"> до </w:t>
      </w:r>
      <w:proofErr w:type="spellStart"/>
      <w:r>
        <w:rPr>
          <w:rFonts w:ascii="Times New Roman" w:hAnsi="Times New Roman"/>
          <w:b/>
          <w:bCs/>
        </w:rPr>
        <w:t>Податкового</w:t>
      </w:r>
      <w:proofErr w:type="spellEnd"/>
      <w:r>
        <w:rPr>
          <w:rFonts w:ascii="Times New Roman" w:hAnsi="Times New Roman"/>
          <w:b/>
          <w:bCs/>
        </w:rPr>
        <w:t xml:space="preserve"> кодексу </w:t>
      </w:r>
      <w:proofErr w:type="spellStart"/>
      <w:r>
        <w:rPr>
          <w:rFonts w:ascii="Times New Roman" w:hAnsi="Times New Roman"/>
          <w:b/>
          <w:bCs/>
        </w:rPr>
        <w:t>України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щодо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сільськогосподарських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кооперативів</w:t>
      </w:r>
      <w:proofErr w:type="spellEnd"/>
      <w:r>
        <w:rPr>
          <w:rFonts w:ascii="Times New Roman" w:eastAsia="Times New Roman" w:hAnsi="Times New Roman" w:cs="Times New Roman"/>
          <w:b/>
          <w:bCs/>
          <w:lang w:eastAsia="uk-UA"/>
        </w:rPr>
        <w:t>”</w:t>
      </w:r>
    </w:p>
    <w:p w:rsidR="0006621E" w:rsidRDefault="0006621E">
      <w:pPr>
        <w:jc w:val="center"/>
        <w:rPr>
          <w:rFonts w:ascii="Times New Roman" w:hAnsi="Times New Roman"/>
          <w:b/>
          <w:bCs/>
        </w:rPr>
      </w:pPr>
    </w:p>
    <w:tbl>
      <w:tblPr>
        <w:tblW w:w="14566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1"/>
        <w:gridCol w:w="6154"/>
        <w:gridCol w:w="2321"/>
      </w:tblGrid>
      <w:tr w:rsidR="0006621E"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ind w:left="2" w:firstLine="66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акта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законодавства</w:t>
            </w:r>
            <w:proofErr w:type="spellEnd"/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a"/>
              <w:spacing w:before="0" w:after="200"/>
              <w:ind w:left="25" w:firstLine="44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проекту акта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a"/>
              <w:spacing w:before="0" w:after="200"/>
              <w:ind w:left="25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змін</w:t>
            </w:r>
            <w:proofErr w:type="spellEnd"/>
          </w:p>
        </w:tc>
      </w:tr>
      <w:tr w:rsidR="0006621E"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9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Розділ ІІІ Податок на прибуток підприємств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9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Розділ ІІІ Податок на прибуток підприємств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06621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06621E"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</w:rPr>
              <w:t>Стаття</w:t>
            </w:r>
            <w:proofErr w:type="spellEnd"/>
            <w:r>
              <w:rPr>
                <w:rFonts w:ascii="Times New Roman" w:hAnsi="Times New Roman"/>
                <w:b/>
                <w:color w:val="333333"/>
              </w:rPr>
              <w:t xml:space="preserve"> 133.</w:t>
            </w:r>
            <w:r>
              <w:rPr>
                <w:rFonts w:ascii="Times New Roman" w:hAnsi="Times New Roman"/>
                <w:color w:val="333333"/>
              </w:rPr>
              <w:t> </w:t>
            </w:r>
            <w:proofErr w:type="spellStart"/>
            <w:r>
              <w:rPr>
                <w:rFonts w:ascii="Times New Roman" w:hAnsi="Times New Roman"/>
                <w:color w:val="333333"/>
              </w:rPr>
              <w:t>Платники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</w:p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…...</w:t>
            </w:r>
          </w:p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133.4.6. До </w:t>
            </w:r>
            <w:proofErr w:type="spellStart"/>
            <w:r>
              <w:rPr>
                <w:rFonts w:ascii="Times New Roman" w:hAnsi="Times New Roman"/>
                <w:color w:val="333333"/>
              </w:rPr>
              <w:t>неприбуткових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організацій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що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відповідають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вимогам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цього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пункту і не є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платниками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зокрема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можуть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color w:val="333333"/>
              </w:rPr>
              <w:t>віднесені</w:t>
            </w:r>
            <w:proofErr w:type="spellEnd"/>
            <w:r>
              <w:rPr>
                <w:rFonts w:ascii="Times New Roman" w:hAnsi="Times New Roman"/>
                <w:color w:val="333333"/>
              </w:rPr>
              <w:t>: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  <w:bookmarkStart w:id="1" w:name="n12551"/>
            <w:bookmarkEnd w:id="1"/>
            <w:proofErr w:type="spellStart"/>
            <w:r>
              <w:rPr>
                <w:rFonts w:ascii="Times New Roman" w:hAnsi="Times New Roman"/>
                <w:color w:val="333333"/>
              </w:rPr>
              <w:t>бюджетні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установи;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  <w:bookmarkStart w:id="2" w:name="n12552"/>
            <w:bookmarkEnd w:id="2"/>
            <w:proofErr w:type="spellStart"/>
            <w:r>
              <w:rPr>
                <w:rFonts w:ascii="Times New Roman" w:hAnsi="Times New Roman"/>
                <w:color w:val="333333"/>
              </w:rPr>
              <w:t>громадські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об’єднання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політичні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партії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творчі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спілки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релігійні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благодійні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пенсійні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фонди</w:t>
            </w:r>
            <w:proofErr w:type="spellEnd"/>
            <w:r>
              <w:rPr>
                <w:rFonts w:ascii="Times New Roman" w:hAnsi="Times New Roman"/>
                <w:color w:val="333333"/>
              </w:rPr>
              <w:t>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  <w:bookmarkStart w:id="3" w:name="n12553"/>
            <w:bookmarkEnd w:id="3"/>
            <w:proofErr w:type="spellStart"/>
            <w:r>
              <w:rPr>
                <w:rFonts w:ascii="Times New Roman" w:hAnsi="Times New Roman"/>
                <w:color w:val="333333"/>
              </w:rPr>
              <w:t>спілки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асоціації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333333"/>
              </w:rPr>
              <w:t>інші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об’єднання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юридичних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осіб</w:t>
            </w:r>
            <w:proofErr w:type="spellEnd"/>
            <w:r>
              <w:rPr>
                <w:rFonts w:ascii="Times New Roman" w:hAnsi="Times New Roman"/>
                <w:color w:val="333333"/>
              </w:rPr>
              <w:t>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  <w:bookmarkStart w:id="4" w:name="n12554"/>
            <w:bookmarkEnd w:id="4"/>
            <w:proofErr w:type="spellStart"/>
            <w:r>
              <w:rPr>
                <w:rFonts w:ascii="Times New Roman" w:hAnsi="Times New Roman"/>
                <w:color w:val="333333"/>
              </w:rPr>
              <w:t>житлово-будівельні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кооперативи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(з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першого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числа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наступного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місяцем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333333"/>
              </w:rPr>
              <w:t>якому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</w:rPr>
              <w:t>до закону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здійснено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прийняття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333333"/>
              </w:rPr>
              <w:t>експлуатацію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закінченого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будівництвом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житлового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будинку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333333"/>
              </w:rPr>
              <w:t>такий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житловий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будинок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споруджувався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або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придбавався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житлово-будівельним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333333"/>
              </w:rPr>
              <w:t>житловим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) кооперативом), </w:t>
            </w:r>
            <w:proofErr w:type="spellStart"/>
            <w:r>
              <w:rPr>
                <w:rFonts w:ascii="Times New Roman" w:hAnsi="Times New Roman"/>
                <w:color w:val="333333"/>
              </w:rPr>
              <w:t>дачні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(дачно-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будівельні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333333"/>
              </w:rPr>
              <w:t>садівничі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гаражні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(гаражно-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будівельні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333333"/>
              </w:rPr>
              <w:t>кооперативи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333333"/>
              </w:rPr>
              <w:t>товариства</w:t>
            </w:r>
            <w:proofErr w:type="spellEnd"/>
            <w:r>
              <w:rPr>
                <w:rFonts w:ascii="Times New Roman" w:hAnsi="Times New Roman"/>
                <w:color w:val="333333"/>
              </w:rPr>
              <w:t>);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  <w:bookmarkStart w:id="5" w:name="n12555"/>
            <w:bookmarkEnd w:id="5"/>
            <w:proofErr w:type="spellStart"/>
            <w:r>
              <w:rPr>
                <w:rFonts w:ascii="Times New Roman" w:hAnsi="Times New Roman"/>
                <w:color w:val="333333"/>
              </w:rPr>
              <w:t>об’єднання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співвласників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багатоквартирного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будинку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асоціації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власників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жилих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будинків</w:t>
            </w:r>
            <w:proofErr w:type="spellEnd"/>
            <w:r>
              <w:rPr>
                <w:rFonts w:ascii="Times New Roman" w:hAnsi="Times New Roman"/>
                <w:color w:val="333333"/>
              </w:rPr>
              <w:t>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  <w:bookmarkStart w:id="6" w:name="n12556"/>
            <w:bookmarkEnd w:id="6"/>
            <w:proofErr w:type="spellStart"/>
            <w:r>
              <w:rPr>
                <w:rFonts w:ascii="Times New Roman" w:hAnsi="Times New Roman"/>
                <w:color w:val="333333"/>
              </w:rPr>
              <w:t>професійні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спілки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їх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об’єднання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профспілок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color w:val="333333"/>
              </w:rPr>
              <w:t>також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роботодавців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333333"/>
              </w:rPr>
              <w:t>їх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об’єднання</w:t>
            </w:r>
            <w:proofErr w:type="spellEnd"/>
            <w:r>
              <w:rPr>
                <w:rFonts w:ascii="Times New Roman" w:hAnsi="Times New Roman"/>
                <w:color w:val="333333"/>
              </w:rPr>
              <w:t>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hint="eastAsia"/>
              </w:rPr>
            </w:pPr>
            <w:bookmarkStart w:id="7" w:name="n12557"/>
            <w:bookmarkEnd w:id="7"/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>сільськогосподарські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>обслуговуючі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>кооперативи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>кооперативні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>об’єднання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>сільськогосподарських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>обслуговуючих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>кооперативів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>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hint="eastAsia"/>
              </w:rPr>
            </w:pPr>
            <w:bookmarkStart w:id="8" w:name="n12558"/>
            <w:bookmarkEnd w:id="8"/>
            <w:proofErr w:type="spellStart"/>
            <w:r>
              <w:rPr>
                <w:rFonts w:ascii="Times New Roman" w:hAnsi="Times New Roman"/>
                <w:color w:val="333333"/>
              </w:rPr>
              <w:t>інші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юридичні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особи, </w:t>
            </w:r>
            <w:proofErr w:type="spellStart"/>
            <w:r>
              <w:rPr>
                <w:rFonts w:ascii="Times New Roman" w:hAnsi="Times New Roman"/>
                <w:color w:val="333333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яких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відповідає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вимогам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цього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пункту.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</w:rPr>
              <w:t>Стаття</w:t>
            </w:r>
            <w:proofErr w:type="spellEnd"/>
            <w:r>
              <w:rPr>
                <w:rFonts w:ascii="Times New Roman" w:hAnsi="Times New Roman"/>
                <w:b/>
                <w:color w:val="333333"/>
              </w:rPr>
              <w:t xml:space="preserve"> 133.</w:t>
            </w:r>
            <w:r>
              <w:rPr>
                <w:rFonts w:ascii="Times New Roman" w:hAnsi="Times New Roman"/>
                <w:color w:val="333333"/>
              </w:rPr>
              <w:t> </w:t>
            </w:r>
            <w:proofErr w:type="spellStart"/>
            <w:r>
              <w:rPr>
                <w:rFonts w:ascii="Times New Roman" w:hAnsi="Times New Roman"/>
                <w:color w:val="333333"/>
              </w:rPr>
              <w:t>Платники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</w:p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…...</w:t>
            </w:r>
          </w:p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133.4.6. До </w:t>
            </w:r>
            <w:proofErr w:type="spellStart"/>
            <w:r>
              <w:rPr>
                <w:rFonts w:ascii="Times New Roman" w:hAnsi="Times New Roman"/>
                <w:color w:val="333333"/>
              </w:rPr>
              <w:t>неприбуткових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організацій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що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відповідають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вимогам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цього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пункту і не є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платниками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зокрема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можуть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color w:val="333333"/>
              </w:rPr>
              <w:t>віднесені</w:t>
            </w:r>
            <w:proofErr w:type="spellEnd"/>
            <w:r>
              <w:rPr>
                <w:rFonts w:ascii="Times New Roman" w:hAnsi="Times New Roman"/>
                <w:color w:val="333333"/>
              </w:rPr>
              <w:t>: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  <w:bookmarkStart w:id="9" w:name="n125511"/>
            <w:bookmarkEnd w:id="9"/>
            <w:proofErr w:type="spellStart"/>
            <w:r>
              <w:rPr>
                <w:rFonts w:ascii="Times New Roman" w:hAnsi="Times New Roman"/>
                <w:color w:val="333333"/>
              </w:rPr>
              <w:t>бюджетні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установи;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  <w:bookmarkStart w:id="10" w:name="n125521"/>
            <w:bookmarkEnd w:id="10"/>
            <w:proofErr w:type="spellStart"/>
            <w:r>
              <w:rPr>
                <w:rFonts w:ascii="Times New Roman" w:hAnsi="Times New Roman"/>
                <w:color w:val="333333"/>
              </w:rPr>
              <w:t>громадські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об’єднання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політичні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партії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творчі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спілки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релігійні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благодійні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пенсійні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фонди</w:t>
            </w:r>
            <w:proofErr w:type="spellEnd"/>
            <w:r>
              <w:rPr>
                <w:rFonts w:ascii="Times New Roman" w:hAnsi="Times New Roman"/>
                <w:color w:val="333333"/>
              </w:rPr>
              <w:t>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  <w:bookmarkStart w:id="11" w:name="n125531"/>
            <w:bookmarkEnd w:id="11"/>
            <w:proofErr w:type="spellStart"/>
            <w:r>
              <w:rPr>
                <w:rFonts w:ascii="Times New Roman" w:hAnsi="Times New Roman"/>
                <w:color w:val="333333"/>
              </w:rPr>
              <w:t>спілки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асоціації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333333"/>
              </w:rPr>
              <w:t>інші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об’єднання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юридичних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осіб</w:t>
            </w:r>
            <w:proofErr w:type="spellEnd"/>
            <w:r>
              <w:rPr>
                <w:rFonts w:ascii="Times New Roman" w:hAnsi="Times New Roman"/>
                <w:color w:val="333333"/>
              </w:rPr>
              <w:t>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  <w:bookmarkStart w:id="12" w:name="n125541"/>
            <w:bookmarkEnd w:id="12"/>
            <w:proofErr w:type="spellStart"/>
            <w:r>
              <w:rPr>
                <w:rFonts w:ascii="Times New Roman" w:hAnsi="Times New Roman"/>
                <w:color w:val="333333"/>
              </w:rPr>
              <w:t>житлово-будівельні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кооперативи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(з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першого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числа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наступного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місяцем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333333"/>
              </w:rPr>
              <w:t>якому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</w:rPr>
              <w:t>до закону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здійснено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прийняття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333333"/>
              </w:rPr>
              <w:t>експлуатацію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закінченого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будівництвом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житлового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будинку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333333"/>
              </w:rPr>
              <w:t>такий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житловий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будинок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споруджувався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або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придбавався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житлово-будівельним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333333"/>
              </w:rPr>
              <w:t>житловим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) кооперативом), </w:t>
            </w:r>
            <w:proofErr w:type="spellStart"/>
            <w:r>
              <w:rPr>
                <w:rFonts w:ascii="Times New Roman" w:hAnsi="Times New Roman"/>
                <w:color w:val="333333"/>
              </w:rPr>
              <w:t>дачні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(дачно-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будівельні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333333"/>
              </w:rPr>
              <w:t>садівничі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гаражні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(гаражно-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будівельні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333333"/>
              </w:rPr>
              <w:t>кооперативи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333333"/>
              </w:rPr>
              <w:t>товариства</w:t>
            </w:r>
            <w:proofErr w:type="spellEnd"/>
            <w:r>
              <w:rPr>
                <w:rFonts w:ascii="Times New Roman" w:hAnsi="Times New Roman"/>
                <w:color w:val="333333"/>
              </w:rPr>
              <w:t>);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  <w:bookmarkStart w:id="13" w:name="n125551"/>
            <w:bookmarkEnd w:id="13"/>
            <w:proofErr w:type="spellStart"/>
            <w:r>
              <w:rPr>
                <w:rFonts w:ascii="Times New Roman" w:hAnsi="Times New Roman"/>
                <w:color w:val="333333"/>
              </w:rPr>
              <w:t>об’єднання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співвласників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багатоквартирного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будинку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асоціації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власників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жилих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будинків</w:t>
            </w:r>
            <w:proofErr w:type="spellEnd"/>
            <w:r>
              <w:rPr>
                <w:rFonts w:ascii="Times New Roman" w:hAnsi="Times New Roman"/>
                <w:color w:val="333333"/>
              </w:rPr>
              <w:t>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  <w:bookmarkStart w:id="14" w:name="n125561"/>
            <w:bookmarkEnd w:id="14"/>
            <w:proofErr w:type="spellStart"/>
            <w:r>
              <w:rPr>
                <w:rFonts w:ascii="Times New Roman" w:hAnsi="Times New Roman"/>
                <w:color w:val="333333"/>
              </w:rPr>
              <w:t>професійні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спілки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</w:rPr>
              <w:t>їх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об’єднання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профспілок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color w:val="333333"/>
              </w:rPr>
              <w:t>також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роботодавців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333333"/>
              </w:rPr>
              <w:t>їх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об’єднання</w:t>
            </w:r>
            <w:proofErr w:type="spellEnd"/>
            <w:r>
              <w:rPr>
                <w:rFonts w:ascii="Times New Roman" w:hAnsi="Times New Roman"/>
                <w:color w:val="333333"/>
              </w:rPr>
              <w:t>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333333"/>
                <w:lang w:val="uk-UA"/>
              </w:rPr>
              <w:t xml:space="preserve">сільськогосподарські кооперативи, що діють без мети отримання прибутку, та сільськогосподарські кооперативні об’єднання, </w:t>
            </w:r>
            <w:bookmarkStart w:id="15" w:name="__DdeLink__3513_1755487244"/>
            <w:r>
              <w:rPr>
                <w:rFonts w:ascii="Times New Roman" w:hAnsi="Times New Roman"/>
                <w:b/>
                <w:bCs/>
                <w:color w:val="333333"/>
                <w:lang w:val="uk-UA"/>
              </w:rPr>
              <w:t>що діють без мети отримання прибутку</w:t>
            </w:r>
            <w:bookmarkEnd w:id="15"/>
            <w:r>
              <w:rPr>
                <w:rFonts w:ascii="Times New Roman" w:hAnsi="Times New Roman"/>
                <w:b/>
                <w:bCs/>
                <w:color w:val="333333"/>
                <w:lang w:val="uk-UA"/>
              </w:rPr>
              <w:t>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hint="eastAsia"/>
              </w:rPr>
            </w:pPr>
            <w:bookmarkStart w:id="16" w:name="n125581"/>
            <w:bookmarkEnd w:id="16"/>
            <w:proofErr w:type="spellStart"/>
            <w:r>
              <w:rPr>
                <w:rFonts w:ascii="Times New Roman" w:hAnsi="Times New Roman"/>
                <w:color w:val="333333"/>
              </w:rPr>
              <w:t>інші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юридичні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особи, </w:t>
            </w:r>
            <w:proofErr w:type="spellStart"/>
            <w:r>
              <w:rPr>
                <w:rFonts w:ascii="Times New Roman" w:hAnsi="Times New Roman"/>
                <w:color w:val="333333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яких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відповідає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вимогам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цього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пункту.</w:t>
            </w:r>
          </w:p>
          <w:p w:rsidR="0006621E" w:rsidRDefault="0006621E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ind w:firstLine="17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Приведення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статті 5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21 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липня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2020 року № 819-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IX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сільськогосподарську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кооперацію</w:t>
            </w:r>
            <w:bookmarkStart w:id="17" w:name="__DdeLink__7505_1755487244"/>
            <w:bookmarkEnd w:id="17"/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”</w:t>
            </w:r>
          </w:p>
        </w:tc>
      </w:tr>
      <w:tr w:rsidR="0006621E"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9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Розділ ІІІ Податок на прибуток підприємств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  <w:b/>
                <w:bCs/>
                <w:lang w:val="uk-UA"/>
              </w:rPr>
              <w:t>озділ І</w:t>
            </w: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80190B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lang w:val="uk-UA"/>
              </w:rPr>
              <w:t>Податок на доходи фізичних осіб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06621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06621E"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Стаття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165.</w:t>
            </w:r>
            <w:r>
              <w:rPr>
                <w:rFonts w:ascii="Times New Roman" w:hAnsi="Times New Roman"/>
                <w:color w:val="000000"/>
              </w:rPr>
              <w:t xml:space="preserve"> Доходи,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включаються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розрахунку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загального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оподатковуваного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доходу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bookmarkStart w:id="18" w:name="n3700"/>
            <w:bookmarkEnd w:id="18"/>
            <w:r>
              <w:rPr>
                <w:rFonts w:ascii="Times New Roman" w:hAnsi="Times New Roman"/>
                <w:color w:val="000000"/>
              </w:rPr>
              <w:t xml:space="preserve">165.1.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загального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оподатковуваного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доходу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платника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включаються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доходи:</w:t>
            </w:r>
          </w:p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…..</w:t>
            </w:r>
          </w:p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 165.1.48.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ооперативні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виплати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члену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виробничого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сільськогосподарського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кооперативу, члену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сільськогосподарського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обслуговуючого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кооперативу, 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кошти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що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повертаються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члену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сільськогосподарського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обслуговуючого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кооперативу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внаслідок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надлишково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сплаченої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наданих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кооперативом;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hint="eastAsia"/>
              </w:rPr>
            </w:pPr>
            <w:bookmarkStart w:id="19" w:name="n3805"/>
            <w:bookmarkEnd w:id="19"/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(сума,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) паю,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що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повертається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члену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сільськогосподарського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виробничого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кооперативу, члену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сільськогосподарського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обслуговуючого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кооперативу </w:t>
            </w:r>
            <w:r>
              <w:rPr>
                <w:rFonts w:ascii="Times New Roman" w:hAnsi="Times New Roman"/>
                <w:color w:val="000000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припинення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ним членства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кооперативі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Перевищення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паю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понад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пайових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внесків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підлягає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оподаткуванню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порядку,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встановленому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> </w:t>
            </w:r>
            <w:hyperlink r:id="rId6" w:anchor="n3979" w:history="1"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пунктом 170.2</w:t>
              </w:r>
            </w:hyperlink>
            <w:r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статті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170 </w:t>
            </w:r>
            <w:proofErr w:type="spellStart"/>
            <w:r>
              <w:rPr>
                <w:rFonts w:ascii="Times New Roman" w:hAnsi="Times New Roman"/>
                <w:color w:val="000000"/>
              </w:rPr>
              <w:t>цього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розділу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….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Стаття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165.</w:t>
            </w:r>
            <w:r>
              <w:rPr>
                <w:rFonts w:ascii="Times New Roman" w:hAnsi="Times New Roman"/>
                <w:color w:val="000000"/>
              </w:rPr>
              <w:t xml:space="preserve"> Доходи,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включаються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розрахунку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загального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оподатковуваного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доходу</w:t>
            </w:r>
          </w:p>
          <w:p w:rsidR="0006621E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bookmarkStart w:id="20" w:name="n37001"/>
            <w:bookmarkEnd w:id="20"/>
            <w:r>
              <w:rPr>
                <w:rFonts w:ascii="Times New Roman" w:hAnsi="Times New Roman"/>
                <w:color w:val="000000"/>
              </w:rPr>
              <w:t xml:space="preserve">165.1.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загального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оподатковуваного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доходу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платника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включаються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доходи:</w:t>
            </w:r>
          </w:p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…..</w:t>
            </w:r>
          </w:p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 165.1.48. 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кошти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які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повертаються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члену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сільськогосподарського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кооперативу, 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що діє без мети отримання прибутку,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внаслідок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надлишково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сплаченої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наданих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кооперативом;</w:t>
            </w:r>
          </w:p>
          <w:p w:rsidR="0006621E" w:rsidRDefault="0006621E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  <w:p w:rsidR="0006621E" w:rsidRDefault="0006621E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  <w:p w:rsidR="0006621E" w:rsidRDefault="0006621E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  <w:p w:rsidR="0006621E" w:rsidRPr="0080190B" w:rsidRDefault="004E7CCA">
            <w:pPr>
              <w:pStyle w:val="a5"/>
              <w:spacing w:after="0" w:line="240" w:lineRule="auto"/>
              <w:ind w:firstLine="225"/>
              <w:contextualSpacing/>
              <w:jc w:val="both"/>
              <w:rPr>
                <w:rFonts w:hint="eastAsia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розмір (сума, вартість) </w:t>
            </w:r>
            <w:r w:rsidR="00D47239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загальної 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частки, </w:t>
            </w:r>
            <w:r w:rsidR="00097114">
              <w:rPr>
                <w:rFonts w:ascii="Times New Roman" w:hAnsi="Times New Roman"/>
                <w:b/>
                <w:bCs/>
                <w:color w:val="000000"/>
                <w:lang w:val="uk-UA"/>
              </w:rPr>
              <w:t>що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поверта</w:t>
            </w:r>
            <w:r w:rsidR="00097114">
              <w:rPr>
                <w:rFonts w:ascii="Times New Roman" w:hAnsi="Times New Roman"/>
                <w:b/>
                <w:bCs/>
                <w:color w:val="000000"/>
                <w:lang w:val="uk-UA"/>
              </w:rPr>
              <w:t>єт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ься члену сільськогосподарського кооперативу</w:t>
            </w:r>
            <w:r>
              <w:rPr>
                <w:rFonts w:ascii="Times New Roman" w:hAnsi="Times New Roman"/>
                <w:b/>
                <w:bCs/>
                <w:iCs/>
                <w:color w:val="333333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lang w:val="uk-UA"/>
              </w:rPr>
              <w:t xml:space="preserve">у разі припинення ним членства в кооперативі. </w:t>
            </w:r>
            <w:r w:rsidRPr="0080190B">
              <w:rPr>
                <w:rFonts w:ascii="Times New Roman" w:hAnsi="Times New Roman"/>
                <w:color w:val="000000"/>
                <w:lang w:val="uk-UA"/>
              </w:rPr>
              <w:t>Перевищення розміру (суми, вартості) паю понад розмір (суми, вартості) пайових внесків підлягає оподаткуванню в порядку, встановленому</w:t>
            </w:r>
            <w:r>
              <w:rPr>
                <w:rFonts w:ascii="Times New Roman" w:hAnsi="Times New Roman"/>
                <w:color w:val="000000"/>
              </w:rPr>
              <w:t> </w:t>
            </w:r>
            <w:hyperlink r:id="rId7" w:anchor="n3979" w:history="1">
              <w:r w:rsidRPr="0080190B">
                <w:rPr>
                  <w:rStyle w:val="-"/>
                  <w:rFonts w:ascii="Times New Roman" w:hAnsi="Times New Roman"/>
                  <w:color w:val="000000"/>
                  <w:u w:val="none"/>
                  <w:lang w:val="uk-UA"/>
                </w:rPr>
                <w:t>пунктом 170.2</w:t>
              </w:r>
            </w:hyperlink>
            <w:r>
              <w:rPr>
                <w:rFonts w:ascii="Times New Roman" w:hAnsi="Times New Roman"/>
                <w:color w:val="000000"/>
              </w:rPr>
              <w:t> </w:t>
            </w:r>
            <w:r w:rsidRPr="0080190B">
              <w:rPr>
                <w:rFonts w:ascii="Times New Roman" w:hAnsi="Times New Roman"/>
                <w:color w:val="000000"/>
                <w:lang w:val="uk-UA"/>
              </w:rPr>
              <w:t>статті 170 цього розділу;</w:t>
            </w:r>
          </w:p>
          <w:p w:rsidR="0006621E" w:rsidRDefault="004E7CCA">
            <w:pPr>
              <w:pStyle w:val="a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….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ind w:firstLine="17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Приведення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статті 5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21 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липня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2020 року № 819-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IX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сільськогосподарську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кооперацію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”</w:t>
            </w:r>
          </w:p>
        </w:tc>
      </w:tr>
      <w:tr w:rsidR="0006621E"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Розділ ХХ. Перехідні положення 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Розділ ХХ. </w:t>
            </w:r>
            <w:bookmarkStart w:id="21" w:name="__DdeLink__7951_1755487244"/>
            <w:bookmarkEnd w:id="21"/>
            <w:r>
              <w:rPr>
                <w:rFonts w:ascii="Times New Roman" w:hAnsi="Times New Roman"/>
                <w:b/>
                <w:bCs/>
                <w:lang w:val="uk-UA"/>
              </w:rPr>
              <w:t xml:space="preserve">Перехідні положення 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06621E">
            <w:pPr>
              <w:ind w:firstLine="174"/>
              <w:jc w:val="both"/>
              <w:rPr>
                <w:rFonts w:hint="eastAsia"/>
              </w:rPr>
            </w:pPr>
          </w:p>
        </w:tc>
      </w:tr>
      <w:tr w:rsidR="0006621E"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Підрозділ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Інші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перехідні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положення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  42.Штрафні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санкції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передбачені</w:t>
            </w:r>
            <w:proofErr w:type="spellEnd"/>
            <w:r>
              <w:rPr>
                <w:rFonts w:ascii="Times New Roman" w:hAnsi="Times New Roman"/>
                <w:color w:val="000000"/>
              </w:rPr>
              <w:t> </w:t>
            </w:r>
            <w:hyperlink r:id="rId8" w:anchor="n10586" w:history="1"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пунктом 120</w:t>
              </w:r>
            </w:hyperlink>
            <w:hyperlink r:id="rId9" w:anchor="n10586" w:history="1">
              <w:r>
                <w:rPr>
                  <w:rStyle w:val="-"/>
                  <w:rFonts w:ascii="Times New Roman" w:hAnsi="Times New Roman"/>
                  <w:b/>
                  <w:color w:val="000000"/>
                  <w:u w:val="none"/>
                </w:rPr>
                <w:t>-1</w:t>
              </w:r>
            </w:hyperlink>
            <w:hyperlink r:id="rId10" w:anchor="n10586" w:history="1"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.1</w:t>
              </w:r>
            </w:hyperlink>
            <w:r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статті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120</w:t>
            </w:r>
            <w:r>
              <w:rPr>
                <w:rFonts w:ascii="Times New Roman" w:hAnsi="Times New Roman"/>
                <w:b/>
                <w:color w:val="000000"/>
              </w:rPr>
              <w:t>-1</w:t>
            </w:r>
            <w:r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</w:rPr>
              <w:t>цього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Кодексу 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порушення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граничних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строків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податкових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накладних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та/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розрахунків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коригування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податкових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накладних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Єдиному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реєстрі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податкових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накладних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встановлених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> </w:t>
            </w:r>
            <w:hyperlink r:id="rId11" w:anchor="n5091" w:history="1"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пунктом 201.10</w:t>
              </w:r>
            </w:hyperlink>
            <w:r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статті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 </w:t>
            </w:r>
            <w:proofErr w:type="spellStart"/>
            <w:r>
              <w:rPr>
                <w:rFonts w:ascii="Times New Roman" w:hAnsi="Times New Roman"/>
                <w:color w:val="000000"/>
              </w:rPr>
              <w:t>цього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Кодексу,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були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складені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1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червня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року по 30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червня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року,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застосовуються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платника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умови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реєстрації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таких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податкових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накладних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пізніше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31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липня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року.</w:t>
            </w:r>
          </w:p>
          <w:p w:rsidR="0006621E" w:rsidRDefault="004E7CCA">
            <w:pPr>
              <w:pStyle w:val="a5"/>
              <w:spacing w:after="0"/>
              <w:ind w:firstLine="22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bookmarkStart w:id="22" w:name="n14677"/>
            <w:bookmarkEnd w:id="22"/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Податкові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накладні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та/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розрахунки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коригувань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податкових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накладних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складені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1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червня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року по 30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червня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року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зареєстровані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Єдиному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реєстрі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податкових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накладних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пізніше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31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липня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року,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вважаються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своєчасно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зареєстрованими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06621E" w:rsidRDefault="0006621E">
            <w:pPr>
              <w:pStyle w:val="a5"/>
              <w:spacing w:after="0"/>
              <w:ind w:firstLine="225"/>
              <w:contextualSpacing/>
              <w:jc w:val="both"/>
              <w:rPr>
                <w:rStyle w:val="a3"/>
                <w:rFonts w:ascii="Times New Roman" w:hAnsi="Times New Roman"/>
                <w:color w:val="000000"/>
              </w:rPr>
            </w:pPr>
          </w:p>
          <w:p w:rsidR="0006621E" w:rsidRDefault="004E7CCA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Норма відсутня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Pr="00B05C16" w:rsidRDefault="004E7CCA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05C16">
              <w:rPr>
                <w:rFonts w:ascii="Times New Roman" w:hAnsi="Times New Roman"/>
                <w:b/>
                <w:color w:val="000000"/>
                <w:lang w:val="uk-UA"/>
              </w:rPr>
              <w:lastRenderedPageBreak/>
              <w:t xml:space="preserve">   Підрозділ 10. Інші перехідні положення</w:t>
            </w:r>
            <w:r w:rsidRPr="00B05C1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06621E" w:rsidRPr="00B05C16" w:rsidRDefault="004E7CCA">
            <w:pPr>
              <w:pStyle w:val="a5"/>
              <w:spacing w:after="0" w:line="240" w:lineRule="auto"/>
              <w:contextualSpacing/>
              <w:jc w:val="both"/>
              <w:rPr>
                <w:rFonts w:hint="eastAsia"/>
                <w:lang w:val="uk-UA"/>
              </w:rPr>
            </w:pPr>
            <w:r w:rsidRPr="00B05C16">
              <w:rPr>
                <w:rFonts w:ascii="Times New Roman" w:hAnsi="Times New Roman"/>
                <w:color w:val="000000"/>
                <w:lang w:val="uk-UA"/>
              </w:rPr>
              <w:t xml:space="preserve">  42. Штрафні санкції, передбачені</w:t>
            </w:r>
            <w:r>
              <w:rPr>
                <w:rFonts w:ascii="Times New Roman" w:hAnsi="Times New Roman"/>
                <w:color w:val="000000"/>
              </w:rPr>
              <w:t> </w:t>
            </w:r>
            <w:hyperlink r:id="rId12" w:anchor="n10586" w:history="1">
              <w:r w:rsidRPr="00B05C16">
                <w:rPr>
                  <w:rStyle w:val="-"/>
                  <w:rFonts w:ascii="Times New Roman" w:hAnsi="Times New Roman"/>
                  <w:color w:val="000000"/>
                  <w:u w:val="none"/>
                  <w:lang w:val="uk-UA"/>
                </w:rPr>
                <w:t>пунктом 120</w:t>
              </w:r>
            </w:hyperlink>
            <w:hyperlink r:id="rId13" w:anchor="n10586" w:history="1">
              <w:r w:rsidRPr="00B05C16">
                <w:rPr>
                  <w:rStyle w:val="-"/>
                  <w:rFonts w:ascii="Times New Roman" w:hAnsi="Times New Roman"/>
                  <w:b/>
                  <w:color w:val="000000"/>
                  <w:u w:val="none"/>
                  <w:lang w:val="uk-UA"/>
                </w:rPr>
                <w:t>-1</w:t>
              </w:r>
            </w:hyperlink>
            <w:hyperlink r:id="rId14" w:anchor="n10586" w:history="1">
              <w:r w:rsidRPr="00B05C16">
                <w:rPr>
                  <w:rStyle w:val="-"/>
                  <w:rFonts w:ascii="Times New Roman" w:hAnsi="Times New Roman"/>
                  <w:color w:val="000000"/>
                  <w:u w:val="none"/>
                  <w:lang w:val="uk-UA"/>
                </w:rPr>
                <w:t>.1</w:t>
              </w:r>
            </w:hyperlink>
            <w:r>
              <w:rPr>
                <w:rFonts w:ascii="Times New Roman" w:hAnsi="Times New Roman"/>
                <w:color w:val="000000"/>
              </w:rPr>
              <w:t> </w:t>
            </w:r>
            <w:r w:rsidRPr="00B05C16">
              <w:rPr>
                <w:rFonts w:ascii="Times New Roman" w:hAnsi="Times New Roman"/>
                <w:color w:val="000000"/>
                <w:lang w:val="uk-UA"/>
              </w:rPr>
              <w:t>статті 120</w:t>
            </w:r>
            <w:r w:rsidRPr="00B05C16">
              <w:rPr>
                <w:rFonts w:ascii="Times New Roman" w:hAnsi="Times New Roman"/>
                <w:b/>
                <w:color w:val="000000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B05C16">
              <w:rPr>
                <w:rFonts w:ascii="Times New Roman" w:hAnsi="Times New Roman"/>
                <w:color w:val="000000"/>
                <w:lang w:val="uk-UA"/>
              </w:rPr>
              <w:t>цього Кодексу за порушення граничних строків для реєстрації податкових накладних та/або розрахунків коригування до податкових накладних у Єдиному реєстрі податкових накладних, встановлених</w:t>
            </w:r>
            <w:r>
              <w:rPr>
                <w:rFonts w:ascii="Times New Roman" w:hAnsi="Times New Roman"/>
                <w:color w:val="000000"/>
              </w:rPr>
              <w:t> </w:t>
            </w:r>
            <w:hyperlink r:id="rId15" w:anchor="n5091" w:history="1">
              <w:r w:rsidRPr="00B05C16">
                <w:rPr>
                  <w:rStyle w:val="-"/>
                  <w:rFonts w:ascii="Times New Roman" w:hAnsi="Times New Roman"/>
                  <w:color w:val="000000"/>
                  <w:u w:val="none"/>
                  <w:lang w:val="uk-UA"/>
                </w:rPr>
                <w:t>пунктом 201.10</w:t>
              </w:r>
            </w:hyperlink>
            <w:r>
              <w:rPr>
                <w:rFonts w:ascii="Times New Roman" w:hAnsi="Times New Roman"/>
                <w:color w:val="000000"/>
              </w:rPr>
              <w:t> </w:t>
            </w:r>
            <w:r w:rsidRPr="00B05C16">
              <w:rPr>
                <w:rFonts w:ascii="Times New Roman" w:hAnsi="Times New Roman"/>
                <w:color w:val="000000"/>
                <w:lang w:val="uk-UA"/>
              </w:rPr>
              <w:t>статті 201 цього Кодексу, які були складені у період з 1 червня 2017 року по 30 червня 2017 року, не застосовуються до платника податків за умови реєстрації таких податкових накладних не пізніше 31 липня 2017 року.</w:t>
            </w:r>
          </w:p>
          <w:p w:rsidR="0006621E" w:rsidRDefault="004E7CCA">
            <w:pPr>
              <w:pStyle w:val="a5"/>
              <w:spacing w:after="0"/>
              <w:ind w:firstLine="22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bookmarkStart w:id="23" w:name="n146771"/>
            <w:bookmarkEnd w:id="23"/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Податкові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накладні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та/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розрахунки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коригувань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податкових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накладних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складені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1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червня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року по 30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червня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року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зареєстровані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Єдиному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реєстрі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податкових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накладних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пізніше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31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липня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року,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вважаються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своєчасно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зареєстрованими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06621E" w:rsidRDefault="004E7CCA">
            <w:pPr>
              <w:ind w:firstLine="225"/>
              <w:contextualSpacing/>
              <w:jc w:val="both"/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</w:pPr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42.</w:t>
            </w:r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vertAlign w:val="superscript"/>
                <w:lang w:eastAsia="ru-RU"/>
              </w:rPr>
              <w:t>1</w:t>
            </w:r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До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сільськогосподарських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виробничих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кооперативів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та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сільськогосподарських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обслуговуючих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кооперативів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державну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реєстрацію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яких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здійснено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до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набрання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чинності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Законом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України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“Про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сільськогосподарську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кооперацію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”,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положення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підпункту134.4.6 пункту 134.4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статті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134 та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підпункту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165.1.48 пункту 165.1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статті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165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цього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Кодексу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застосовуються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у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редакції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що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діяла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до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прийняття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Закону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України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“Про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внесення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змін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Податкового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кодексу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України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щодо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сільськогосподарських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кооперативів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”, до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приведення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їхніх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установчих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документів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у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відповідність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до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вимог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Закону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України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“Про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сільськогосподарську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кооперацію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”, але не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більше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3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років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з дня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набрання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чинності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>цим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highlight w:val="white"/>
                <w:lang w:eastAsia="ru-RU"/>
              </w:rPr>
              <w:t xml:space="preserve"> Законом.</w:t>
            </w:r>
          </w:p>
          <w:p w:rsidR="00503B97" w:rsidRPr="00503B97" w:rsidRDefault="00503B97">
            <w:pPr>
              <w:ind w:firstLine="225"/>
              <w:contextualSpacing/>
              <w:jc w:val="both"/>
              <w:rPr>
                <w:rFonts w:hint="eastAsia"/>
                <w:highlight w:val="white"/>
                <w:lang w:val="uk-UA"/>
              </w:rPr>
            </w:pPr>
            <w:r>
              <w:rPr>
                <w:rStyle w:val="a3"/>
                <w:rFonts w:ascii="Times New Roman" w:hAnsi="Times New Roman"/>
                <w:b/>
                <w:bCs/>
                <w:color w:val="000000"/>
                <w:highlight w:val="white"/>
                <w:lang w:eastAsia="ru-RU"/>
              </w:rPr>
              <w:t>…</w:t>
            </w:r>
            <w:r>
              <w:rPr>
                <w:rStyle w:val="a3"/>
                <w:rFonts w:ascii="Times New Roman" w:hAnsi="Times New Roman"/>
                <w:b/>
                <w:bCs/>
                <w:color w:val="000000"/>
                <w:highlight w:val="white"/>
                <w:lang w:val="uk-UA" w:eastAsia="ru-RU"/>
              </w:rPr>
              <w:t>..</w:t>
            </w:r>
            <w:bookmarkStart w:id="24" w:name="_GoBack"/>
            <w:bookmarkEnd w:id="24"/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6621E" w:rsidRDefault="00177189" w:rsidP="00177189">
            <w:pPr>
              <w:ind w:firstLine="174"/>
              <w:jc w:val="both"/>
              <w:rPr>
                <w:rFonts w:hint="eastAsia"/>
              </w:rPr>
            </w:pPr>
            <w:r w:rsidRPr="00177189">
              <w:rPr>
                <w:rFonts w:ascii="Times New Roman" w:hAnsi="Times New Roman" w:cs="Times New Roman"/>
                <w:lang w:val="uk-UA"/>
              </w:rPr>
              <w:lastRenderedPageBreak/>
              <w:t xml:space="preserve">Приведення у відповідність до пункту 5 </w:t>
            </w:r>
            <w:proofErr w:type="spellStart"/>
            <w:r w:rsidRPr="00177189">
              <w:rPr>
                <w:rFonts w:ascii="Times New Roman" w:hAnsi="Times New Roman" w:cs="Times New Roman"/>
              </w:rPr>
              <w:t>розділу</w:t>
            </w:r>
            <w:proofErr w:type="spellEnd"/>
            <w:r w:rsidRPr="00177189">
              <w:rPr>
                <w:rFonts w:ascii="Times New Roman" w:hAnsi="Times New Roman" w:cs="Times New Roman"/>
              </w:rPr>
              <w:t xml:space="preserve"> Х “</w:t>
            </w:r>
            <w:proofErr w:type="spellStart"/>
            <w:r w:rsidRPr="00177189">
              <w:rPr>
                <w:rFonts w:ascii="Times New Roman" w:hAnsi="Times New Roman" w:cs="Times New Roman"/>
              </w:rPr>
              <w:t>Прикінцеві</w:t>
            </w:r>
            <w:proofErr w:type="spellEnd"/>
            <w:r w:rsidRPr="001771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71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9">
              <w:rPr>
                <w:rFonts w:ascii="Times New Roman" w:hAnsi="Times New Roman" w:cs="Times New Roman"/>
              </w:rPr>
              <w:t>перехідні</w:t>
            </w:r>
            <w:proofErr w:type="spellEnd"/>
            <w:r w:rsidRPr="001771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9">
              <w:rPr>
                <w:rFonts w:ascii="Times New Roman" w:hAnsi="Times New Roman" w:cs="Times New Roman"/>
              </w:rPr>
              <w:t>положення</w:t>
            </w:r>
            <w:proofErr w:type="spellEnd"/>
            <w:r w:rsidRPr="00177189">
              <w:rPr>
                <w:rFonts w:ascii="Times New Roman" w:hAnsi="Times New Roman" w:cs="Times New Roman"/>
              </w:rPr>
              <w:t xml:space="preserve">” Закону </w:t>
            </w:r>
            <w:proofErr w:type="spellStart"/>
            <w:r w:rsidRPr="0017718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771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189">
              <w:rPr>
                <w:rFonts w:ascii="Times New Roman" w:hAnsi="Times New Roman" w:cs="Times New Roman"/>
              </w:rPr>
              <w:t>від</w:t>
            </w:r>
            <w:proofErr w:type="spellEnd"/>
            <w:r w:rsidRPr="00177189">
              <w:rPr>
                <w:rFonts w:ascii="Times New Roman" w:hAnsi="Times New Roman" w:cs="Times New Roman"/>
              </w:rPr>
              <w:t xml:space="preserve"> 21 </w:t>
            </w:r>
            <w:proofErr w:type="spellStart"/>
            <w:r w:rsidRPr="00177189">
              <w:rPr>
                <w:rFonts w:ascii="Times New Roman" w:hAnsi="Times New Roman" w:cs="Times New Roman"/>
              </w:rPr>
              <w:t>липня</w:t>
            </w:r>
            <w:proofErr w:type="spellEnd"/>
            <w:r w:rsidRPr="00177189">
              <w:rPr>
                <w:rFonts w:ascii="Times New Roman" w:hAnsi="Times New Roman" w:cs="Times New Roman"/>
              </w:rPr>
              <w:t xml:space="preserve"> 2020 року № 819-ІХ “Про</w:t>
            </w:r>
            <w:r w:rsidRPr="00177189">
              <w:t xml:space="preserve"> </w:t>
            </w:r>
            <w:proofErr w:type="spellStart"/>
            <w:r w:rsidRPr="00177189">
              <w:t>сільськогосподарську</w:t>
            </w:r>
            <w:proofErr w:type="spellEnd"/>
            <w:r w:rsidRPr="00177189">
              <w:t xml:space="preserve"> </w:t>
            </w:r>
            <w:proofErr w:type="spellStart"/>
            <w:r w:rsidRPr="00177189">
              <w:t>кооперацію</w:t>
            </w:r>
            <w:proofErr w:type="spellEnd"/>
            <w:r w:rsidRPr="00177189">
              <w:t>” (</w:t>
            </w:r>
            <w:proofErr w:type="spellStart"/>
            <w:r w:rsidRPr="00177189">
              <w:t>далі</w:t>
            </w:r>
            <w:proofErr w:type="spellEnd"/>
            <w:r w:rsidRPr="00177189">
              <w:t xml:space="preserve"> – Закон)</w:t>
            </w:r>
          </w:p>
        </w:tc>
      </w:tr>
    </w:tbl>
    <w:p w:rsidR="0006621E" w:rsidRDefault="0006621E">
      <w:pPr>
        <w:jc w:val="center"/>
        <w:rPr>
          <w:rFonts w:hint="eastAsia"/>
        </w:rPr>
      </w:pPr>
      <w:bookmarkStart w:id="25" w:name="__DdeLink__6192_17554872441"/>
      <w:bookmarkEnd w:id="25"/>
    </w:p>
    <w:p w:rsidR="0006621E" w:rsidRDefault="0006621E">
      <w:pPr>
        <w:jc w:val="center"/>
        <w:rPr>
          <w:rFonts w:hint="eastAsia"/>
        </w:rPr>
      </w:pPr>
    </w:p>
    <w:p w:rsidR="0006621E" w:rsidRDefault="004E7CC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Директор директорату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розвитку </w:t>
      </w:r>
    </w:p>
    <w:p w:rsidR="0006621E" w:rsidRDefault="004E7CCA">
      <w:pPr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розвитку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економіки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торгівлі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та </w:t>
      </w:r>
    </w:p>
    <w:p w:rsidR="0006621E" w:rsidRDefault="004E7CCA">
      <w:pPr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4D4E50">
        <w:rPr>
          <w:rFonts w:ascii="Times New Roman" w:eastAsia="Times New Roman" w:hAnsi="Times New Roman" w:cs="Times New Roman"/>
          <w:b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Андрій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ПИВОВАРОВ</w:t>
      </w:r>
    </w:p>
    <w:sectPr w:rsidR="0006621E" w:rsidSect="00A13C19">
      <w:headerReference w:type="default" r:id="rId16"/>
      <w:pgSz w:w="16838" w:h="11906" w:orient="landscape"/>
      <w:pgMar w:top="709" w:right="850" w:bottom="567" w:left="1417" w:header="567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83" w:rsidRDefault="003A1483">
      <w:pPr>
        <w:rPr>
          <w:rFonts w:hint="eastAsia"/>
        </w:rPr>
      </w:pPr>
      <w:r>
        <w:separator/>
      </w:r>
    </w:p>
  </w:endnote>
  <w:endnote w:type="continuationSeparator" w:id="0">
    <w:p w:rsidR="003A1483" w:rsidRDefault="003A14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a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83" w:rsidRDefault="003A1483">
      <w:pPr>
        <w:rPr>
          <w:rFonts w:hint="eastAsia"/>
        </w:rPr>
      </w:pPr>
      <w:r>
        <w:separator/>
      </w:r>
    </w:p>
  </w:footnote>
  <w:footnote w:type="continuationSeparator" w:id="0">
    <w:p w:rsidR="003A1483" w:rsidRDefault="003A14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890062"/>
      <w:docPartObj>
        <w:docPartGallery w:val="Page Numbers (Top of Page)"/>
        <w:docPartUnique/>
      </w:docPartObj>
    </w:sdtPr>
    <w:sdtEndPr/>
    <w:sdtContent>
      <w:p w:rsidR="00B05C16" w:rsidRDefault="00B05C16">
        <w:pPr>
          <w:pStyle w:val="ac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B97" w:rsidRPr="00503B97">
          <w:rPr>
            <w:rFonts w:hint="eastAsia"/>
            <w:noProof/>
            <w:lang w:val="uk-UA"/>
          </w:rPr>
          <w:t>3</w:t>
        </w:r>
        <w:r>
          <w:fldChar w:fldCharType="end"/>
        </w:r>
      </w:p>
    </w:sdtContent>
  </w:sdt>
  <w:p w:rsidR="0006621E" w:rsidRPr="00177189" w:rsidRDefault="0006621E">
    <w:pPr>
      <w:pStyle w:val="ac"/>
      <w:jc w:val="center"/>
      <w:rPr>
        <w:rFonts w:hint="eastAsia"/>
        <w:sz w:val="20"/>
        <w:szCs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1E"/>
    <w:rsid w:val="000502ED"/>
    <w:rsid w:val="0006621E"/>
    <w:rsid w:val="00097114"/>
    <w:rsid w:val="00177189"/>
    <w:rsid w:val="00302D85"/>
    <w:rsid w:val="003A1483"/>
    <w:rsid w:val="004D4E50"/>
    <w:rsid w:val="004E7CCA"/>
    <w:rsid w:val="00503B97"/>
    <w:rsid w:val="0080190B"/>
    <w:rsid w:val="00996E23"/>
    <w:rsid w:val="00A13C19"/>
    <w:rsid w:val="00A71BAE"/>
    <w:rsid w:val="00B05C16"/>
    <w:rsid w:val="00B51848"/>
    <w:rsid w:val="00D47239"/>
    <w:rsid w:val="00E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27DA3"/>
  <w15:docId w15:val="{09DB8C89-3329-4B0C-9AE3-4F7C8B4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Нормальний текст"/>
    <w:basedOn w:val="a"/>
    <w:qFormat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</w:style>
  <w:style w:type="paragraph" w:styleId="ae">
    <w:name w:val="footer"/>
    <w:basedOn w:val="a"/>
    <w:link w:val="af"/>
    <w:uiPriority w:val="99"/>
    <w:unhideWhenUsed/>
    <w:rsid w:val="00B05C16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">
    <w:name w:val="Нижній колонтитул Знак"/>
    <w:basedOn w:val="a0"/>
    <w:link w:val="ae"/>
    <w:uiPriority w:val="99"/>
    <w:rsid w:val="00B05C16"/>
    <w:rPr>
      <w:rFonts w:cs="Mangal"/>
      <w:color w:val="00000A"/>
      <w:sz w:val="24"/>
      <w:szCs w:val="21"/>
    </w:rPr>
  </w:style>
  <w:style w:type="character" w:customStyle="1" w:styleId="ad">
    <w:name w:val="Верхній колонтитул Знак"/>
    <w:basedOn w:val="a0"/>
    <w:link w:val="ac"/>
    <w:uiPriority w:val="99"/>
    <w:rsid w:val="00B05C16"/>
    <w:rPr>
      <w:color w:val="00000A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177189"/>
    <w:rPr>
      <w:rFonts w:ascii="Segoe UI" w:hAnsi="Segoe UI" w:cs="Mangal"/>
      <w:sz w:val="18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177189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13" Type="http://schemas.openxmlformats.org/officeDocument/2006/relationships/hyperlink" Target="https://zakon.rada.gov.ua/laws/show/2755-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755-17" TargetMode="External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55-17" TargetMode="External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2755-17" TargetMode="Externa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ПРИСЯЖНЮК Наталія Анатоліївна</dc:creator>
  <dc:description/>
  <cp:lastModifiedBy>ПРИСЯЖНЮК Наталія Анатоліївна</cp:lastModifiedBy>
  <cp:revision>14</cp:revision>
  <cp:lastPrinted>2020-10-08T15:57:00Z</cp:lastPrinted>
  <dcterms:created xsi:type="dcterms:W3CDTF">2020-10-06T13:08:00Z</dcterms:created>
  <dcterms:modified xsi:type="dcterms:W3CDTF">2020-10-15T17:25:00Z</dcterms:modified>
  <dc:language>ru-RU</dc:language>
</cp:coreProperties>
</file>