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CD" w:rsidRDefault="00AA2DCD" w:rsidP="00AA2DCD">
      <w:pPr>
        <w:rPr>
          <w:rFonts w:ascii="Times New Roman" w:eastAsia="Times New Roman" w:hAnsi="Times New Roman" w:cs="Times New Roman"/>
          <w:color w:val="000000"/>
        </w:rPr>
      </w:pPr>
    </w:p>
    <w:p w:rsidR="00AA2DCD" w:rsidRDefault="00AA2DCD" w:rsidP="00AA2DC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:rsidR="00AA2DCD" w:rsidRDefault="00AA2DCD" w:rsidP="00AA2DC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 Кабінету Міністрів України</w:t>
      </w:r>
    </w:p>
    <w:p w:rsidR="00AA2DCD" w:rsidRDefault="00AA2DCD" w:rsidP="00AA2DC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«____» _____________ 2020 р. № ____</w:t>
      </w:r>
    </w:p>
    <w:p w:rsidR="00761BB8" w:rsidRDefault="00761BB8" w:rsidP="00AA2DC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BB8" w:rsidRDefault="00761BB8" w:rsidP="00AA2DC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BB8" w:rsidRPr="00734CF3" w:rsidRDefault="00734CF3" w:rsidP="00734CF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Зміни до Порядку ведення Державного земельного кадастру</w:t>
      </w:r>
    </w:p>
    <w:p w:rsidR="00761BB8" w:rsidRDefault="00761BB8" w:rsidP="00AA2DC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375" w:rsidRDefault="005F4375" w:rsidP="00416E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5F4375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восьмий підпункту 8 пункту 22 Порядку виключити.</w:t>
      </w:r>
    </w:p>
    <w:p w:rsidR="00416EAD" w:rsidRDefault="005F4375" w:rsidP="00416E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6EAD" w:rsidRP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5C1FD2" w:rsidRP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додатку 1 до Порядку </w:t>
      </w:r>
      <w:r w:rsid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розділ </w:t>
      </w:r>
      <w:r w:rsidR="00416EAD" w:rsidRPr="00376695">
        <w:rPr>
          <w:rFonts w:ascii="Times New Roman" w:eastAsia="Times New Roman" w:hAnsi="Times New Roman" w:cs="Times New Roman"/>
          <w:sz w:val="28"/>
          <w:szCs w:val="28"/>
        </w:rPr>
        <w:t xml:space="preserve">«Відомості про </w:t>
      </w:r>
      <w:r w:rsidR="001121B1" w:rsidRPr="003766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економічну та </w:t>
      </w:r>
      <w:r w:rsidR="002F5FC7">
        <w:rPr>
          <w:rFonts w:ascii="Times New Roman" w:eastAsia="Times New Roman" w:hAnsi="Times New Roman" w:cs="Times New Roman"/>
          <w:sz w:val="28"/>
          <w:szCs w:val="28"/>
        </w:rPr>
        <w:t>нормативну</w:t>
      </w:r>
      <w:r w:rsidR="00376695" w:rsidRPr="00376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EAD" w:rsidRPr="00376695">
        <w:rPr>
          <w:rFonts w:ascii="Times New Roman" w:eastAsia="Times New Roman" w:hAnsi="Times New Roman" w:cs="Times New Roman"/>
          <w:sz w:val="28"/>
          <w:szCs w:val="28"/>
        </w:rPr>
        <w:t xml:space="preserve">оцінку </w:t>
      </w:r>
      <w:r w:rsidR="00376695" w:rsidRPr="00376695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416EAD" w:rsidRPr="003766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EAD" w:rsidRPr="002B17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викласти у такій редакції:</w:t>
      </w:r>
      <w:r w:rsidR="00376695" w:rsidRPr="00376695">
        <w:rPr>
          <w:color w:val="333333"/>
          <w:sz w:val="18"/>
          <w:szCs w:val="18"/>
          <w:shd w:val="clear" w:color="auto" w:fill="FFFFFF"/>
        </w:rPr>
        <w:t xml:space="preserve"> </w:t>
      </w:r>
    </w:p>
    <w:p w:rsidR="00761BB8" w:rsidRPr="00761BB8" w:rsidRDefault="00761BB8" w:rsidP="00761BB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««</w:t>
      </w:r>
      <w:r w:rsidRP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Відомості про нормативну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грошову оцінку земель»</w:t>
      </w:r>
    </w:p>
    <w:p w:rsidR="00761BB8" w:rsidRPr="00416EAD" w:rsidRDefault="00761BB8" w:rsidP="00761BB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761B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Елемент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Відомості про нормативну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грошову оцінку земель»</w:t>
      </w:r>
      <w:r w:rsidRP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(LandsValuation) наведений у додатку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до цих вимог</w:t>
      </w:r>
      <w:r w:rsidR="001121B1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включає елеме</w:t>
      </w:r>
      <w:r w:rsidRP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>ти, які містять відомості про нормативну грошову оцінку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яких зазначаються: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елементі «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>Блок опису зовнішні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полігонів оціночної території»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(Externals) – дані згідно з додатком 11 до цих вимог.</w:t>
      </w:r>
    </w:p>
    <w:p w:rsidR="00761BB8" w:rsidRPr="009843FA" w:rsidRDefault="00761BB8" w:rsidP="00761BB8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в елементі «Опис території, оцінка земель якої проведена» (DescriptionOfTerritory) – дані про територію, нормативна грошова оцінка земельних ділянок якої проведена, а саме:</w:t>
      </w:r>
    </w:p>
    <w:p w:rsidR="00761BB8" w:rsidRPr="009843FA" w:rsidRDefault="00761BB8" w:rsidP="00761BB8">
      <w:pPr>
        <w:pStyle w:val="a3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в елементі «Назва регіону» (Region) – дані про назву області чи Автономної Республіки Крим, в межах якої знаходиться територія, нормативна грошова оцінка земельних ділянок якої проведена; </w:t>
      </w:r>
    </w:p>
    <w:p w:rsidR="00761BB8" w:rsidRPr="009843FA" w:rsidRDefault="00761BB8" w:rsidP="00761BB8">
      <w:pPr>
        <w:pStyle w:val="a3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в елементі «Назва району» (District) – дані про назву району, в межах якого знаходиться територія нормативна грошова оцінка земельних ділянок якої проведена;</w:t>
      </w:r>
    </w:p>
    <w:p w:rsidR="00761BB8" w:rsidRPr="009843FA" w:rsidRDefault="00761BB8" w:rsidP="00761BB8">
      <w:pPr>
        <w:pStyle w:val="a3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в елементі «Назва сільської, селищної, міської ради або об’єднаної територіальної громади» (Rada) – дані про назву сільської, селищної, міської ради або об’єднаної територіальної громади, в межах якої знаходиться територія, нормативна грошова оцінка земельних ділянок якої проведена;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елементі «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>Чисельн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ість населення»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(Population) – дані про чисельність населення.</w:t>
      </w:r>
    </w:p>
    <w:p w:rsidR="00761BB8" w:rsidRPr="009843FA" w:rsidRDefault="00761BB8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в елементі «Площа оціночної території» (AreaTerritory) – дані про площу оціночної території, нормативна грошова оцінка земельних ділянок якої проведена.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елементі «Рік виконання»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(ValuationYear) – дані про рік виконання нормативної грошової оцінки.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елементі «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Норматив капіталізованого рентного доходу для земель житлової та громадської забудови, земель рекреаційного призначення, земель промисловості, транспорту, зв’язку, енергетики, оборони 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іншого призначення (Нрд)»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(Nrd) – дані про норматив капіталізованого рентного доходу для земель житлової та громадської забудови, земель рекреаційного призначення, земель 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промисловості, транспорту, зв’язку, енергетики, оборони та іншого призначення (Нрд)</w:t>
      </w:r>
      <w:r w:rsidR="00761BB8" w:rsidRPr="009843FA">
        <w:rPr>
          <w:rFonts w:ascii="Times New Roman" w:hAnsi="Times New Roman"/>
          <w:sz w:val="28"/>
          <w:szCs w:val="28"/>
        </w:rPr>
        <w:t xml:space="preserve">, дані зазначаються згідно з додатком </w:t>
      </w:r>
      <w:r w:rsidR="00761BB8" w:rsidRPr="009843FA">
        <w:rPr>
          <w:rFonts w:ascii="Times New Roman" w:hAnsi="Times New Roman"/>
          <w:sz w:val="28"/>
          <w:szCs w:val="28"/>
          <w:lang w:val="ru-RU"/>
        </w:rPr>
        <w:t>1</w:t>
      </w:r>
      <w:r w:rsidR="00761BB8" w:rsidRPr="009843FA">
        <w:rPr>
          <w:rFonts w:ascii="Times New Roman" w:hAnsi="Times New Roman"/>
          <w:sz w:val="28"/>
          <w:szCs w:val="28"/>
        </w:rPr>
        <w:t xml:space="preserve">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</w:t>
      </w:r>
      <w:r w:rsidR="00761BB8" w:rsidRPr="00114BDC">
        <w:rPr>
          <w:rFonts w:ascii="Times New Roman" w:hAnsi="Times New Roman"/>
          <w:sz w:val="28"/>
          <w:szCs w:val="28"/>
        </w:rPr>
        <w:t>.</w:t>
      </w:r>
    </w:p>
    <w:p w:rsidR="00761BB8" w:rsidRPr="009843FA" w:rsidRDefault="00761BB8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в елементі </w:t>
      </w:r>
      <w:r w:rsidR="00114BD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9843FA">
        <w:rPr>
          <w:rFonts w:ascii="Times New Roman" w:hAnsi="Times New Roman"/>
          <w:sz w:val="28"/>
          <w:szCs w:val="28"/>
        </w:rPr>
        <w:t>Коефіцієнт, який враховує розташування громади в межах зони впливу великих міст</w:t>
      </w:r>
      <w:r w:rsidR="00114BD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(Км1) – дані про </w:t>
      </w:r>
      <w:r w:rsidRPr="009843FA">
        <w:rPr>
          <w:rFonts w:ascii="Times New Roman" w:hAnsi="Times New Roman"/>
          <w:sz w:val="28"/>
          <w:szCs w:val="28"/>
        </w:rPr>
        <w:t>коефіцієнт, який враховує розташування громади в межах зони впливу великих міст, дані зазначаються згідно з додатком 3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1BB8" w:rsidRPr="009843FA" w:rsidRDefault="00761BB8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в елементі </w:t>
      </w:r>
      <w:r w:rsidR="00114BD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9843FA">
        <w:rPr>
          <w:rFonts w:ascii="Times New Roman" w:hAnsi="Times New Roman"/>
          <w:sz w:val="28"/>
          <w:szCs w:val="28"/>
        </w:rPr>
        <w:t>Коефіцієнт, який враховує курортно-рекреаційне значення населених пунктів</w:t>
      </w:r>
      <w:r w:rsidR="00114BD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(Км2) – дані про </w:t>
      </w:r>
      <w:r w:rsidRPr="009843FA">
        <w:rPr>
          <w:rFonts w:ascii="Times New Roman" w:hAnsi="Times New Roman"/>
          <w:sz w:val="28"/>
          <w:szCs w:val="28"/>
        </w:rPr>
        <w:t>коефіцієнт, який враховує курортно-рекреаційне значення населених пунктів, дані зазначаються згідно з додатком 4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1BB8" w:rsidRPr="009843FA" w:rsidRDefault="00761BB8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в елементі </w:t>
      </w:r>
      <w:r w:rsidR="00114BD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9843FA">
        <w:rPr>
          <w:rFonts w:ascii="Times New Roman" w:hAnsi="Times New Roman"/>
          <w:sz w:val="28"/>
          <w:szCs w:val="28"/>
        </w:rPr>
        <w:t>Коефіцієнт, який враховує розташування громади в межах зон радіаційного забруднення</w:t>
      </w:r>
      <w:r w:rsidR="00114BD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(Км3) – дані про </w:t>
      </w:r>
      <w:r w:rsidRPr="009843FA">
        <w:rPr>
          <w:rFonts w:ascii="Times New Roman" w:hAnsi="Times New Roman"/>
          <w:sz w:val="28"/>
          <w:szCs w:val="28"/>
        </w:rPr>
        <w:t>коефіцієнт, який враховує розташування громади в межах зон радіаційного забруднення, дані зазначаються згідно з додатком 5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Коефіцієнт, який враховує особливості використання земельної ділянки в межах категорії земель за основним цільовим призначенням (Кмц), для земель житлової та громадської забудови, земель рекреаційного призначення, земель промисловості, транспорту, зв’язку, енергетики, оборони та іншого призначення (в межах населених пунктів), а також для земельних ділянок, які не віднесені до категорії земель за</w:t>
      </w:r>
      <w:r>
        <w:rPr>
          <w:rFonts w:ascii="Times New Roman" w:hAnsi="Times New Roman"/>
          <w:sz w:val="28"/>
          <w:szCs w:val="28"/>
        </w:rPr>
        <w:t xml:space="preserve"> основним цільовим призначенням»</w:t>
      </w:r>
      <w:r w:rsidR="00761BB8" w:rsidRPr="009843FA">
        <w:rPr>
          <w:rFonts w:ascii="Times New Roman" w:hAnsi="Times New Roman"/>
          <w:sz w:val="28"/>
          <w:szCs w:val="28"/>
        </w:rPr>
        <w:t xml:space="preserve"> (Кmc1) – дані про коефіцієнт, який враховує особливості використання земельної ділянки в межах категорії земель за основним цільовим призначенням (Кмц), для земель житлової та громадської забудови, земель рекреаційного призначення, земель промисловості, транспорту, зв’язку, енергетики, оборони та іншого призначення (в межах населених пунктів), а також для земельних ділянок, які не віднесені до категорії земель за основним цільовим призначенням, дані зазначаються згідно з додатком </w:t>
      </w:r>
      <w:r w:rsidR="00761BB8" w:rsidRPr="009843FA">
        <w:rPr>
          <w:rFonts w:ascii="Times New Roman" w:hAnsi="Times New Roman"/>
          <w:sz w:val="28"/>
          <w:szCs w:val="28"/>
          <w:lang w:val="ru-RU"/>
        </w:rPr>
        <w:t>10</w:t>
      </w:r>
      <w:r w:rsidR="00761BB8" w:rsidRPr="009843FA">
        <w:rPr>
          <w:rFonts w:ascii="Times New Roman" w:hAnsi="Times New Roman"/>
          <w:sz w:val="28"/>
          <w:szCs w:val="28"/>
        </w:rPr>
        <w:t xml:space="preserve">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елементі «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Коефіцієнт, який враховує особливості використання земельної ділянки в межах категорії земель за основним цільовим призначенням (Кмц), для земель промисловості, транспорту, зв’язку, енергетики, оборони та 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іншого призначенн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(за межами населених пунктів)»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(KmcIndustry) – дані про коефіцієнт, який враховує особливості використання земельної ділянки в межах категорії земель за основним цільовим призначенням (Кмц), для земель промисловості, транспорту, зв’язку, енергетики, оборони та іншого призначення (за межами населених пунктів), дані зазначаються згідно з додатком 11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елементі «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>Коефіцієнт, який враховує особливості використання земельної ділянки в межах категорії земель за основним цільовим призначенням (Кмц),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земель оздоровчого призначення»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(KmcHealth) – дані про коефіцієнт, який враховує особливості використання земельної ділянки в межах категорії земель за основним цільовим призначенням, для земель оздоровчого призначення, дані зазначаються згідно з додатком 12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ХХХХ).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елементі «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>Коефіцієнт, який враховує особливості використання земельної ділянки в межах категорії земель за основним цільовим призначенням (Кмц), для земель і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сторико-культурного призначення»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(KmcNatureReserve) – дані про коефіцієнт, який враховує особливості використання земельної ділянки в межах категорії земель за основним цільовим призначенням, для земель історико-культурного призначення, дані зазначаються згідно з додатком 12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ХХХХ).</w:t>
      </w:r>
    </w:p>
    <w:p w:rsidR="00761BB8" w:rsidRPr="009843FA" w:rsidRDefault="00761BB8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в елеме</w:t>
      </w:r>
      <w:r w:rsidR="00114BDC">
        <w:rPr>
          <w:rFonts w:ascii="Times New Roman" w:eastAsia="Times New Roman" w:hAnsi="Times New Roman"/>
          <w:color w:val="000000"/>
          <w:sz w:val="28"/>
          <w:szCs w:val="28"/>
        </w:rPr>
        <w:t>нті «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Коефіцієнт, який враховує факт</w:t>
      </w:r>
      <w:r w:rsidR="00114BDC">
        <w:rPr>
          <w:rFonts w:ascii="Times New Roman" w:eastAsia="Times New Roman" w:hAnsi="Times New Roman"/>
          <w:color w:val="000000"/>
          <w:sz w:val="28"/>
          <w:szCs w:val="28"/>
        </w:rPr>
        <w:t>ичну лісистість території (Клс)»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(Kls) – дані про коефіцієнт, який враховує фактичну лісистість території (Клс) , дані зазначаються згідно з додатком 14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ХХХХ)..</w:t>
      </w:r>
    </w:p>
    <w:p w:rsidR="00761BB8" w:rsidRPr="009843FA" w:rsidRDefault="00761BB8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43FA">
        <w:rPr>
          <w:rStyle w:val="m1"/>
          <w:rFonts w:ascii="Times New Roman" w:hAnsi="Times New Roman"/>
          <w:color w:val="000000"/>
          <w:sz w:val="28"/>
          <w:szCs w:val="28"/>
        </w:rPr>
        <w:t xml:space="preserve">в елементі </w:t>
      </w:r>
      <w:r w:rsidR="00114BDC">
        <w:rPr>
          <w:rFonts w:ascii="Times New Roman" w:hAnsi="Times New Roman"/>
          <w:sz w:val="28"/>
          <w:szCs w:val="28"/>
        </w:rPr>
        <w:t>«Оціночні райони»</w:t>
      </w:r>
      <w:r w:rsidRPr="009843FA">
        <w:rPr>
          <w:rFonts w:ascii="Times New Roman" w:hAnsi="Times New Roman"/>
          <w:sz w:val="28"/>
          <w:szCs w:val="28"/>
        </w:rPr>
        <w:t xml:space="preserve"> (ValuationDistricts</w:t>
      </w:r>
      <w:r w:rsidRPr="009843FA">
        <w:t xml:space="preserve">) </w:t>
      </w:r>
      <w:r w:rsidRPr="009843FA">
        <w:rPr>
          <w:rFonts w:ascii="Times New Roman" w:hAnsi="Times New Roman"/>
          <w:sz w:val="28"/>
          <w:szCs w:val="28"/>
        </w:rPr>
        <w:t xml:space="preserve">– дані про оціночні райони, які визначені під час проведення нормативної грошової оцінки земельних ділянок. Для зазначення відомостей про кожний оціночний район </w:t>
      </w:r>
      <w:r w:rsidR="00114BDC">
        <w:rPr>
          <w:rFonts w:ascii="Times New Roman" w:hAnsi="Times New Roman"/>
          <w:sz w:val="28"/>
          <w:szCs w:val="28"/>
        </w:rPr>
        <w:t>окремо, застосовується елемент «Оціночний район»</w:t>
      </w:r>
      <w:r w:rsidRPr="009843FA">
        <w:rPr>
          <w:rFonts w:ascii="Times New Roman" w:hAnsi="Times New Roman"/>
          <w:sz w:val="28"/>
          <w:szCs w:val="28"/>
        </w:rPr>
        <w:t xml:space="preserve"> (ValuationDistrict), який включає елементи, що містять відомості про окремий оціночний район</w:t>
      </w:r>
      <w:r w:rsidRPr="009843FA">
        <w:rPr>
          <w:rFonts w:ascii="Times New Roman" w:eastAsia="Times New Roman" w:hAnsi="Times New Roman"/>
          <w:color w:val="000000"/>
          <w:sz w:val="28"/>
          <w:szCs w:val="28"/>
        </w:rPr>
        <w:t>, а саме:</w:t>
      </w:r>
    </w:p>
    <w:p w:rsidR="00761BB8" w:rsidRPr="009843FA" w:rsidRDefault="00114BDC" w:rsidP="00761BB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 xml:space="preserve">Ідентифікатор </w:t>
      </w:r>
      <w:r>
        <w:rPr>
          <w:rFonts w:ascii="Times New Roman" w:hAnsi="Times New Roman"/>
          <w:sz w:val="28"/>
          <w:szCs w:val="28"/>
        </w:rPr>
        <w:t>(номер) оціночного району»</w:t>
      </w:r>
      <w:r w:rsidR="00761BB8" w:rsidRPr="009843FA">
        <w:rPr>
          <w:rFonts w:ascii="Times New Roman" w:hAnsi="Times New Roman"/>
          <w:sz w:val="28"/>
          <w:szCs w:val="28"/>
        </w:rPr>
        <w:t xml:space="preserve"> (DistrictNumber) – дані про ідентифікатор чи номер оціночного району, який вказаний у технічній документації із оцінки земель;</w:t>
      </w:r>
    </w:p>
    <w:p w:rsidR="00761BB8" w:rsidRPr="009843FA" w:rsidRDefault="00114BDC" w:rsidP="00761BB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«Площа оціночного району»</w:t>
      </w:r>
      <w:r w:rsidR="00761BB8" w:rsidRPr="009843FA">
        <w:rPr>
          <w:rFonts w:ascii="Times New Roman" w:hAnsi="Times New Roman"/>
          <w:sz w:val="28"/>
          <w:szCs w:val="28"/>
        </w:rPr>
        <w:t xml:space="preserve"> (DistrictArea) – дані про площу оціночного району;</w:t>
      </w:r>
    </w:p>
    <w:p w:rsidR="00761BB8" w:rsidRPr="009843FA" w:rsidRDefault="00114BDC" w:rsidP="00761BB8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Блок опису зовніш</w:t>
      </w:r>
      <w:r>
        <w:rPr>
          <w:rFonts w:ascii="Times New Roman" w:hAnsi="Times New Roman"/>
          <w:sz w:val="28"/>
          <w:szCs w:val="28"/>
        </w:rPr>
        <w:t>ніх полігонів оціночного району»</w:t>
      </w:r>
      <w:r w:rsidR="00761BB8" w:rsidRPr="009843FA">
        <w:rPr>
          <w:rFonts w:ascii="Times New Roman" w:hAnsi="Times New Roman"/>
          <w:sz w:val="28"/>
          <w:szCs w:val="28"/>
        </w:rPr>
        <w:t xml:space="preserve"> (Externals) – блок опису зовнішніх полігонів оціночного району згідно з додатком 11 до цих вимог;</w:t>
      </w:r>
    </w:p>
    <w:p w:rsidR="00761BB8" w:rsidRPr="009843FA" w:rsidRDefault="00114BDC" w:rsidP="00761BB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Коефіцієнт, який характеризує зональні фактори місцепо</w:t>
      </w:r>
      <w:r>
        <w:rPr>
          <w:rFonts w:ascii="Times New Roman" w:hAnsi="Times New Roman"/>
          <w:sz w:val="28"/>
          <w:szCs w:val="28"/>
        </w:rPr>
        <w:t>ложення земельної ділянки (Км4)»</w:t>
      </w:r>
      <w:r w:rsidR="00761BB8" w:rsidRPr="009843FA">
        <w:rPr>
          <w:rFonts w:ascii="Times New Roman" w:hAnsi="Times New Roman"/>
          <w:sz w:val="28"/>
          <w:szCs w:val="28"/>
        </w:rPr>
        <w:t xml:space="preserve"> (Km4) – дані про коефіцієнт, який характеризує зональні фактори місцеположення земельної ділянки (Км4);</w:t>
      </w:r>
    </w:p>
    <w:p w:rsidR="00761BB8" w:rsidRPr="009843FA" w:rsidRDefault="00114BDC" w:rsidP="00761BB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Коефіцієнт, який</w:t>
      </w:r>
      <w:r>
        <w:rPr>
          <w:rFonts w:ascii="Times New Roman" w:hAnsi="Times New Roman"/>
          <w:sz w:val="28"/>
          <w:szCs w:val="28"/>
        </w:rPr>
        <w:t xml:space="preserve"> враховує категорію лісів (Клк)»</w:t>
      </w:r>
      <w:r w:rsidR="00761BB8" w:rsidRPr="009843FA">
        <w:rPr>
          <w:rFonts w:ascii="Times New Roman" w:hAnsi="Times New Roman"/>
          <w:sz w:val="28"/>
          <w:szCs w:val="28"/>
        </w:rPr>
        <w:t xml:space="preserve"> (</w:t>
      </w:r>
      <w:r w:rsidR="00761BB8" w:rsidRPr="009843FA">
        <w:rPr>
          <w:rFonts w:ascii="Times New Roman" w:hAnsi="Times New Roman"/>
          <w:sz w:val="28"/>
          <w:szCs w:val="28"/>
          <w:lang w:val="en-US"/>
        </w:rPr>
        <w:t>Klk</w:t>
      </w:r>
      <w:r w:rsidR="00761BB8" w:rsidRPr="009843FA">
        <w:rPr>
          <w:rFonts w:ascii="Times New Roman" w:hAnsi="Times New Roman"/>
          <w:sz w:val="28"/>
          <w:szCs w:val="28"/>
        </w:rPr>
        <w:t>) – дані про коефіцієнт, який враховує категорію лісів (Клк)</w:t>
      </w:r>
      <w:r w:rsidR="00761BB8" w:rsidRPr="009843FA">
        <w:rPr>
          <w:rFonts w:ascii="Times New Roman" w:eastAsia="Times New Roman" w:hAnsi="Times New Roman"/>
          <w:color w:val="000000"/>
          <w:sz w:val="28"/>
          <w:szCs w:val="28"/>
        </w:rPr>
        <w:t xml:space="preserve"> , дані зазначаються згідно з додатком 13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ХХХХ).</w:t>
      </w:r>
      <w:r w:rsidR="00761BB8" w:rsidRPr="009843FA">
        <w:rPr>
          <w:rFonts w:ascii="Times New Roman" w:hAnsi="Times New Roman"/>
          <w:sz w:val="28"/>
          <w:szCs w:val="28"/>
        </w:rPr>
        <w:t>.</w:t>
      </w:r>
    </w:p>
    <w:p w:rsidR="00761BB8" w:rsidRPr="009843FA" w:rsidRDefault="00114BDC" w:rsidP="00761BB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Style w:val="m1"/>
          <w:rFonts w:ascii="Times New Roman" w:hAnsi="Times New Roman"/>
          <w:color w:val="000000"/>
          <w:sz w:val="28"/>
          <w:szCs w:val="28"/>
        </w:rPr>
      </w:pPr>
      <w:r>
        <w:rPr>
          <w:rStyle w:val="m1"/>
          <w:rFonts w:ascii="Times New Roman" w:hAnsi="Times New Roman"/>
          <w:color w:val="000000"/>
          <w:sz w:val="28"/>
          <w:szCs w:val="28"/>
        </w:rPr>
        <w:t xml:space="preserve"> в елементі «</w:t>
      </w:r>
      <w:r w:rsidR="00761BB8" w:rsidRPr="009843FA">
        <w:rPr>
          <w:rStyle w:val="m1"/>
          <w:rFonts w:ascii="Times New Roman" w:hAnsi="Times New Roman"/>
          <w:color w:val="000000"/>
          <w:sz w:val="28"/>
          <w:szCs w:val="28"/>
        </w:rPr>
        <w:t>Приро</w:t>
      </w:r>
      <w:r>
        <w:rPr>
          <w:rStyle w:val="m1"/>
          <w:rFonts w:ascii="Times New Roman" w:hAnsi="Times New Roman"/>
          <w:color w:val="000000"/>
          <w:sz w:val="28"/>
          <w:szCs w:val="28"/>
        </w:rPr>
        <w:t>дно-сільськогосподарський район»</w:t>
      </w:r>
      <w:r w:rsidR="00761BB8" w:rsidRPr="009843FA">
        <w:rPr>
          <w:rStyle w:val="m1"/>
          <w:rFonts w:ascii="Times New Roman" w:hAnsi="Times New Roman"/>
          <w:color w:val="000000"/>
          <w:sz w:val="28"/>
          <w:szCs w:val="28"/>
        </w:rPr>
        <w:t xml:space="preserve"> (NaturalAgriculturalsDistrict) </w:t>
      </w:r>
      <w:r w:rsidR="00761BB8" w:rsidRPr="009843FA">
        <w:rPr>
          <w:rFonts w:ascii="Times New Roman" w:hAnsi="Times New Roman"/>
          <w:sz w:val="28"/>
          <w:szCs w:val="28"/>
        </w:rPr>
        <w:t>–</w:t>
      </w:r>
      <w:r w:rsidR="00761BB8" w:rsidRPr="009843FA">
        <w:rPr>
          <w:rStyle w:val="m1"/>
          <w:rFonts w:ascii="Times New Roman" w:hAnsi="Times New Roman"/>
          <w:color w:val="000000"/>
          <w:sz w:val="28"/>
          <w:szCs w:val="28"/>
        </w:rPr>
        <w:t xml:space="preserve"> дані про природно-сільськогосподарський район, а саме:</w:t>
      </w:r>
    </w:p>
    <w:p w:rsidR="00761BB8" w:rsidRPr="009843FA" w:rsidRDefault="00114BDC" w:rsidP="00761BB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n1942"/>
      <w:bookmarkEnd w:id="0"/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Блок опису зовнішніх полігонів природно-сільськогосподарського рай</w:t>
      </w:r>
      <w:r>
        <w:rPr>
          <w:rFonts w:ascii="Times New Roman" w:hAnsi="Times New Roman"/>
          <w:sz w:val="28"/>
          <w:szCs w:val="28"/>
        </w:rPr>
        <w:t>ону в межах оціночної території»</w:t>
      </w:r>
      <w:r w:rsidR="00761BB8" w:rsidRPr="009843FA">
        <w:rPr>
          <w:rFonts w:ascii="Times New Roman" w:hAnsi="Times New Roman"/>
          <w:sz w:val="28"/>
          <w:szCs w:val="28"/>
        </w:rPr>
        <w:t xml:space="preserve"> (Externals) – дані згідно з </w:t>
      </w:r>
      <w:hyperlink r:id="rId8" w:anchor="n33" w:tgtFrame="_blank" w:history="1">
        <w:r w:rsidR="00761BB8" w:rsidRPr="009843FA">
          <w:rPr>
            <w:rFonts w:ascii="Times New Roman" w:hAnsi="Times New Roman"/>
            <w:sz w:val="28"/>
            <w:szCs w:val="28"/>
          </w:rPr>
          <w:t>додатком 11</w:t>
        </w:r>
      </w:hyperlink>
      <w:r w:rsidR="00761BB8" w:rsidRPr="009843FA">
        <w:rPr>
          <w:rFonts w:ascii="Times New Roman" w:hAnsi="Times New Roman"/>
          <w:sz w:val="28"/>
          <w:szCs w:val="28"/>
        </w:rPr>
        <w:t> до цих вимог;</w:t>
      </w:r>
    </w:p>
    <w:p w:rsidR="00761BB8" w:rsidRPr="009843FA" w:rsidRDefault="00114BDC" w:rsidP="00761BB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Площа природно-сільськогосподарського рай</w:t>
      </w:r>
      <w:r>
        <w:rPr>
          <w:rFonts w:ascii="Times New Roman" w:hAnsi="Times New Roman"/>
          <w:sz w:val="28"/>
          <w:szCs w:val="28"/>
        </w:rPr>
        <w:t>ону в межах оціночної території»</w:t>
      </w:r>
      <w:r w:rsidR="00761BB8" w:rsidRPr="009843FA">
        <w:rPr>
          <w:rFonts w:ascii="Times New Roman" w:hAnsi="Times New Roman"/>
          <w:sz w:val="28"/>
          <w:szCs w:val="28"/>
        </w:rPr>
        <w:t xml:space="preserve"> (AreaAgrDistrict) – дані про площу оціночної території, нормативна грошова оцінка земельних ділянок якої проведена;</w:t>
      </w:r>
    </w:p>
    <w:p w:rsidR="00761BB8" w:rsidRPr="009843FA" w:rsidRDefault="00114BDC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Шифр природн</w:t>
      </w:r>
      <w:r>
        <w:rPr>
          <w:rFonts w:ascii="Times New Roman" w:hAnsi="Times New Roman"/>
          <w:sz w:val="28"/>
          <w:szCs w:val="28"/>
        </w:rPr>
        <w:t>о-сільськогосподарського району»</w:t>
      </w:r>
      <w:r w:rsidR="00761BB8" w:rsidRPr="009843FA">
        <w:rPr>
          <w:rFonts w:ascii="Times New Roman" w:hAnsi="Times New Roman"/>
          <w:sz w:val="28"/>
          <w:szCs w:val="28"/>
        </w:rPr>
        <w:t xml:space="preserve"> (AgrDistrictNumber) – дані про шифр природно-сільськогосподарського району, дані зазначаються згідно з додатком 9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ХХХХ);</w:t>
      </w:r>
    </w:p>
    <w:p w:rsidR="00761BB8" w:rsidRPr="009843FA" w:rsidRDefault="00114BDC" w:rsidP="00761BB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n139"/>
      <w:bookmarkEnd w:id="1"/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Назва природн</w:t>
      </w:r>
      <w:r>
        <w:rPr>
          <w:rFonts w:ascii="Times New Roman" w:hAnsi="Times New Roman"/>
          <w:sz w:val="28"/>
          <w:szCs w:val="28"/>
        </w:rPr>
        <w:t>о-сільськогосподарського району»</w:t>
      </w:r>
      <w:r w:rsidR="00761BB8" w:rsidRPr="009843FA">
        <w:rPr>
          <w:rFonts w:ascii="Times New Roman" w:hAnsi="Times New Roman"/>
          <w:sz w:val="28"/>
          <w:szCs w:val="28"/>
        </w:rPr>
        <w:t xml:space="preserve"> (AgrDistrictName) – дані про назву природно-сільськогосподарського району, дані зазначаються згідно з додатком 9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ХХХХ);</w:t>
      </w:r>
    </w:p>
    <w:p w:rsidR="00761BB8" w:rsidRPr="009843FA" w:rsidRDefault="00114BDC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 xml:space="preserve">Коефіцієнт, який враховує розташування громади в межах природно-сільськогосподарського </w:t>
      </w:r>
      <w:r>
        <w:rPr>
          <w:rFonts w:ascii="Times New Roman" w:hAnsi="Times New Roman"/>
          <w:sz w:val="28"/>
          <w:szCs w:val="28"/>
        </w:rPr>
        <w:t>району, для відповідного угіддя»</w:t>
      </w:r>
      <w:r w:rsidR="00761BB8" w:rsidRPr="009843FA">
        <w:rPr>
          <w:rFonts w:ascii="Times New Roman" w:hAnsi="Times New Roman"/>
          <w:sz w:val="28"/>
          <w:szCs w:val="28"/>
        </w:rPr>
        <w:t xml:space="preserve"> (Kpsgr) – дані про коефіцієнт, який враховує розташування громади в межах природно-сільськогосподарського району, для відповідного угіддя, дані зазначаються згідно з додатком 9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ХХХХ), а саме:</w:t>
      </w:r>
    </w:p>
    <w:p w:rsidR="00761BB8" w:rsidRPr="009843FA" w:rsidRDefault="00E7001D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n141"/>
      <w:bookmarkEnd w:id="2"/>
      <w:r>
        <w:rPr>
          <w:rFonts w:ascii="Times New Roman" w:hAnsi="Times New Roman"/>
          <w:sz w:val="28"/>
          <w:szCs w:val="28"/>
        </w:rPr>
        <w:t>елемент «Рілля, перелоги»</w:t>
      </w:r>
      <w:r w:rsidR="00761BB8" w:rsidRPr="009843FA">
        <w:rPr>
          <w:rFonts w:ascii="Times New Roman" w:hAnsi="Times New Roman"/>
          <w:sz w:val="28"/>
          <w:szCs w:val="28"/>
        </w:rPr>
        <w:t xml:space="preserve"> (Arable) – застосовується для зазначення коефіцієнту, який враховує розташування громади в межах природно-сільськогосподарського району для ріллі та перелогів;</w:t>
      </w:r>
    </w:p>
    <w:p w:rsidR="00761BB8" w:rsidRPr="009843FA" w:rsidRDefault="00114BDC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n142"/>
      <w:bookmarkEnd w:id="3"/>
      <w:r>
        <w:rPr>
          <w:rFonts w:ascii="Times New Roman" w:hAnsi="Times New Roman"/>
          <w:sz w:val="28"/>
          <w:szCs w:val="28"/>
        </w:rPr>
        <w:lastRenderedPageBreak/>
        <w:t>елемент «Багаторічні насадження»</w:t>
      </w:r>
      <w:r w:rsidR="00761BB8" w:rsidRPr="009843FA">
        <w:rPr>
          <w:rFonts w:ascii="Times New Roman" w:hAnsi="Times New Roman"/>
          <w:sz w:val="28"/>
          <w:szCs w:val="28"/>
        </w:rPr>
        <w:t xml:space="preserve"> (PerennialPlants) – застосовується для зазначення коефіцієнту, який враховує розташування громади в межах природно-сільськогосподарського району для багаторічних насаджень;</w:t>
      </w:r>
    </w:p>
    <w:p w:rsidR="00761BB8" w:rsidRPr="009843FA" w:rsidRDefault="00114BDC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n143"/>
      <w:bookmarkEnd w:id="4"/>
      <w:r>
        <w:rPr>
          <w:rFonts w:ascii="Times New Roman" w:hAnsi="Times New Roman"/>
          <w:sz w:val="28"/>
          <w:szCs w:val="28"/>
        </w:rPr>
        <w:t>елемент «Сіножаті»</w:t>
      </w:r>
      <w:r w:rsidR="00761BB8" w:rsidRPr="009843FA">
        <w:rPr>
          <w:rFonts w:ascii="Times New Roman" w:hAnsi="Times New Roman"/>
          <w:sz w:val="28"/>
          <w:szCs w:val="28"/>
        </w:rPr>
        <w:t xml:space="preserve"> (Grasslands) – застосовується для зазначення коефіцієнту, який враховує розташування громади в межах природно-сільськогосподарського району для сіножатей;</w:t>
      </w:r>
    </w:p>
    <w:p w:rsidR="00761BB8" w:rsidRPr="009843FA" w:rsidRDefault="00114BDC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n144"/>
      <w:bookmarkEnd w:id="5"/>
      <w:r>
        <w:rPr>
          <w:rFonts w:ascii="Times New Roman" w:hAnsi="Times New Roman"/>
          <w:sz w:val="28"/>
          <w:szCs w:val="28"/>
        </w:rPr>
        <w:t>елемент «Пасовища»</w:t>
      </w:r>
      <w:r w:rsidR="00761BB8" w:rsidRPr="009843FA">
        <w:rPr>
          <w:rFonts w:ascii="Times New Roman" w:hAnsi="Times New Roman"/>
          <w:sz w:val="28"/>
          <w:szCs w:val="28"/>
        </w:rPr>
        <w:t xml:space="preserve"> (Pasture) – застосовується для зазначення коефіцієнту, який враховує розташування громади в межах природно-сільськогосподарського району для пасовищ;</w:t>
      </w:r>
    </w:p>
    <w:p w:rsidR="00761BB8" w:rsidRPr="009843FA" w:rsidRDefault="00114BDC" w:rsidP="00761BB8">
      <w:pPr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елемент «Несільськогосподарські угідя»</w:t>
      </w:r>
      <w:r w:rsidR="00761BB8" w:rsidRPr="009843FA">
        <w:rPr>
          <w:rFonts w:ascii="Times New Roman" w:hAnsi="Times New Roman"/>
          <w:sz w:val="28"/>
          <w:szCs w:val="28"/>
        </w:rPr>
        <w:t xml:space="preserve"> (Nsg) – застосовується для зазначення коефіцієнту, який враховує розташування громади в межах природно-сільськогосподарського району для несільськогосподарських угідь.</w:t>
      </w:r>
    </w:p>
    <w:p w:rsidR="00761BB8" w:rsidRPr="009843FA" w:rsidRDefault="006B686D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Середній бал бонітету ґрунтів відповідного сільськогосподарського угіддя природн</w:t>
      </w:r>
      <w:r>
        <w:rPr>
          <w:rFonts w:ascii="Times New Roman" w:hAnsi="Times New Roman"/>
          <w:sz w:val="28"/>
          <w:szCs w:val="28"/>
        </w:rPr>
        <w:t>о-сільськогосподарського району»</w:t>
      </w:r>
      <w:r w:rsidR="00761BB8" w:rsidRPr="009843FA">
        <w:rPr>
          <w:rFonts w:ascii="Times New Roman" w:hAnsi="Times New Roman"/>
          <w:sz w:val="28"/>
          <w:szCs w:val="28"/>
        </w:rPr>
        <w:t xml:space="preserve"> (</w:t>
      </w:r>
      <w:r w:rsidR="00761BB8" w:rsidRPr="009843FA">
        <w:rPr>
          <w:rFonts w:ascii="Times New Roman" w:hAnsi="Times New Roman"/>
          <w:sz w:val="28"/>
          <w:szCs w:val="28"/>
          <w:lang w:val="en-US"/>
        </w:rPr>
        <w:t>Bpsgr</w:t>
      </w:r>
      <w:r w:rsidR="00CF69B0" w:rsidRPr="009843FA">
        <w:rPr>
          <w:rFonts w:ascii="Times New Roman" w:hAnsi="Times New Roman"/>
          <w:sz w:val="28"/>
          <w:szCs w:val="28"/>
        </w:rPr>
        <w:t xml:space="preserve">) – </w:t>
      </w:r>
      <w:r w:rsidR="00761BB8" w:rsidRPr="009843FA">
        <w:rPr>
          <w:rFonts w:ascii="Times New Roman" w:hAnsi="Times New Roman"/>
          <w:sz w:val="28"/>
          <w:szCs w:val="28"/>
        </w:rPr>
        <w:t>дані про середній бал бонітету агровиробничої групи ґрунтів відповідного сільськогосподарського угіддя природно-сільськогосподарського району, дані зазначаються згідно з додатком 9 Методики нормативної грошової оцінки земельних ділянок, затвердженої постановою Кабінету Міністрів України від ХХ хххххххх ХХХХ р. № ХХХ (Офіційний вісник України, 202Х р., № ХХ, ст. ХХХХ), а саме:</w:t>
      </w:r>
    </w:p>
    <w:p w:rsidR="00761BB8" w:rsidRPr="009843FA" w:rsidRDefault="006B686D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елемент «Рілля, перелоги»</w:t>
      </w:r>
      <w:r w:rsidR="00761BB8" w:rsidRPr="009843FA">
        <w:rPr>
          <w:rFonts w:ascii="Times New Roman" w:hAnsi="Times New Roman"/>
          <w:sz w:val="28"/>
          <w:szCs w:val="28"/>
        </w:rPr>
        <w:t xml:space="preserve"> (Arable) – застосовується для зазначення середнього бала бонітету ґрунтів ріллі та перелогів природно-сільськогосподарського району;</w:t>
      </w:r>
    </w:p>
    <w:p w:rsidR="00761BB8" w:rsidRPr="009843FA" w:rsidRDefault="006B686D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елемент «</w:t>
      </w:r>
      <w:r w:rsidR="00473A7E">
        <w:rPr>
          <w:rFonts w:ascii="Times New Roman" w:hAnsi="Times New Roman"/>
          <w:sz w:val="28"/>
          <w:szCs w:val="28"/>
        </w:rPr>
        <w:t>Багаторічні насадження»</w:t>
      </w:r>
      <w:r w:rsidR="00761BB8" w:rsidRPr="009843FA">
        <w:rPr>
          <w:rFonts w:ascii="Times New Roman" w:hAnsi="Times New Roman"/>
          <w:sz w:val="28"/>
          <w:szCs w:val="28"/>
        </w:rPr>
        <w:t xml:space="preserve"> (PerennialPlants) – застосовується для зазначення середнього бала бонітету ґрунтів багаторічних насаджень;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елемент «Сіножаті»</w:t>
      </w:r>
      <w:r w:rsidR="00761BB8" w:rsidRPr="009843FA">
        <w:rPr>
          <w:rFonts w:ascii="Times New Roman" w:hAnsi="Times New Roman"/>
          <w:sz w:val="28"/>
          <w:szCs w:val="28"/>
        </w:rPr>
        <w:t xml:space="preserve"> (Grasslands) – застосовується для зазначення середнього бала бонітету ґрунтів сіножатей природно-сільськогосподарського району;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елемент «Пасовища»</w:t>
      </w:r>
      <w:r w:rsidR="00761BB8" w:rsidRPr="009843FA">
        <w:rPr>
          <w:rFonts w:ascii="Times New Roman" w:hAnsi="Times New Roman"/>
          <w:sz w:val="28"/>
          <w:szCs w:val="28"/>
        </w:rPr>
        <w:t xml:space="preserve"> (Pasture) – застосовується для зазначення бала бонітету ґрунтів пасовищ природно-сільськогосподарського району.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елементі «Агровиробничі групи ґрунтів»</w:t>
      </w:r>
      <w:r w:rsidR="00761BB8" w:rsidRPr="009843FA">
        <w:rPr>
          <w:rFonts w:ascii="Times New Roman" w:hAnsi="Times New Roman"/>
          <w:sz w:val="28"/>
          <w:szCs w:val="28"/>
        </w:rPr>
        <w:t xml:space="preserve"> (AgroGroups) – дані про агровиробничі групи ґрунтів на території природно-сільськогосподарського району, а саме: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6" w:name="n152"/>
      <w:bookmarkEnd w:id="6"/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>фр агровиробничої групи ґрунтів»</w:t>
      </w:r>
      <w:r w:rsidR="00761BB8" w:rsidRPr="009843FA">
        <w:rPr>
          <w:rFonts w:ascii="Times New Roman" w:hAnsi="Times New Roman"/>
          <w:sz w:val="28"/>
          <w:szCs w:val="28"/>
        </w:rPr>
        <w:t xml:space="preserve"> (CodeAgroGroup) – дані про шифр агровиробничої групи ґрунтів згідно з </w:t>
      </w:r>
      <w:hyperlink r:id="rId9" w:anchor="n12" w:tgtFrame="_blank" w:history="1">
        <w:r w:rsidR="00761BB8" w:rsidRPr="009843FA">
          <w:rPr>
            <w:rFonts w:ascii="Times New Roman" w:hAnsi="Times New Roman"/>
            <w:sz w:val="28"/>
            <w:szCs w:val="28"/>
          </w:rPr>
          <w:t>додатком 5</w:t>
        </w:r>
      </w:hyperlink>
      <w:r w:rsidR="00761BB8" w:rsidRPr="009843FA">
        <w:rPr>
          <w:rFonts w:ascii="Times New Roman" w:hAnsi="Times New Roman"/>
          <w:sz w:val="28"/>
          <w:szCs w:val="28"/>
        </w:rPr>
        <w:t> до Порядку ведення Державного земельного кадастру;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7" w:name="n153"/>
      <w:bookmarkEnd w:id="7"/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z w:val="28"/>
          <w:szCs w:val="28"/>
        </w:rPr>
        <w:t>ща агровиробничої групи ґрунтів»</w:t>
      </w:r>
      <w:r w:rsidR="00761BB8" w:rsidRPr="009843FA">
        <w:rPr>
          <w:rFonts w:ascii="Times New Roman" w:hAnsi="Times New Roman"/>
          <w:sz w:val="28"/>
          <w:szCs w:val="28"/>
        </w:rPr>
        <w:t xml:space="preserve"> (AgroGroupArea) – дані про площу агровиробничої групи ґрунтів;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8" w:name="n154"/>
      <w:bookmarkEnd w:id="8"/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Блок опису зовнішніх полігон</w:t>
      </w:r>
      <w:r>
        <w:rPr>
          <w:rFonts w:ascii="Times New Roman" w:hAnsi="Times New Roman"/>
          <w:sz w:val="28"/>
          <w:szCs w:val="28"/>
        </w:rPr>
        <w:t>ів агровиробничої групи ґрунтів»</w:t>
      </w:r>
      <w:r w:rsidR="00761BB8" w:rsidRPr="009843FA">
        <w:rPr>
          <w:rFonts w:ascii="Times New Roman" w:hAnsi="Times New Roman"/>
          <w:sz w:val="28"/>
          <w:szCs w:val="28"/>
        </w:rPr>
        <w:t xml:space="preserve"> (Externals) – блок опису зовнішніх полігонів агровиробничої групи ґрунтів згідно з додатком 11 до цих вимог;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" w:name="n155"/>
      <w:bookmarkEnd w:id="9"/>
      <w:r>
        <w:rPr>
          <w:rFonts w:ascii="Times New Roman" w:hAnsi="Times New Roman"/>
          <w:sz w:val="28"/>
          <w:szCs w:val="28"/>
        </w:rPr>
        <w:t>в елементі «</w:t>
      </w:r>
      <w:r w:rsidR="00761BB8" w:rsidRPr="009843FA">
        <w:rPr>
          <w:rFonts w:ascii="Times New Roman" w:hAnsi="Times New Roman"/>
          <w:sz w:val="28"/>
          <w:szCs w:val="28"/>
        </w:rPr>
        <w:t>Бал бонітету агровиробничої групи ґрунтів відповідного сільськогосподарського угіддя природн</w:t>
      </w:r>
      <w:r>
        <w:rPr>
          <w:rFonts w:ascii="Times New Roman" w:hAnsi="Times New Roman"/>
          <w:sz w:val="28"/>
          <w:szCs w:val="28"/>
        </w:rPr>
        <w:t>о-сільськогосподарського району»</w:t>
      </w:r>
      <w:r w:rsidR="00761BB8" w:rsidRPr="009843FA">
        <w:rPr>
          <w:rFonts w:ascii="Times New Roman" w:hAnsi="Times New Roman"/>
          <w:sz w:val="28"/>
          <w:szCs w:val="28"/>
        </w:rPr>
        <w:t xml:space="preserve"> (Bagr) </w:t>
      </w:r>
      <w:r w:rsidR="00761BB8" w:rsidRPr="009843FA">
        <w:rPr>
          <w:rFonts w:ascii="Times New Roman" w:hAnsi="Times New Roman"/>
          <w:sz w:val="28"/>
          <w:szCs w:val="28"/>
        </w:rPr>
        <w:lastRenderedPageBreak/>
        <w:t>– дані про бал бонітету агровиробничої групи ґрунтів відповідного сільськогосподарського угіддя природно-сільськогосподарського району, а саме: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" w:name="n156"/>
      <w:bookmarkEnd w:id="10"/>
      <w:r>
        <w:rPr>
          <w:rFonts w:ascii="Times New Roman" w:hAnsi="Times New Roman"/>
          <w:sz w:val="28"/>
          <w:szCs w:val="28"/>
        </w:rPr>
        <w:t>елемент «Рілля, перелоги»</w:t>
      </w:r>
      <w:r w:rsidR="00761BB8" w:rsidRPr="009843FA">
        <w:rPr>
          <w:rFonts w:ascii="Times New Roman" w:hAnsi="Times New Roman"/>
          <w:sz w:val="28"/>
          <w:szCs w:val="28"/>
        </w:rPr>
        <w:t xml:space="preserve"> (Arable) – застосовується для зазначення бала бонітету агровиробничої групи ґрунтів ріллі та перелогів;</w:t>
      </w:r>
    </w:p>
    <w:p w:rsidR="00761BB8" w:rsidRPr="009843FA" w:rsidRDefault="00473A7E" w:rsidP="00761BB8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" w:name="n157"/>
      <w:bookmarkEnd w:id="11"/>
      <w:r>
        <w:rPr>
          <w:rFonts w:ascii="Times New Roman" w:hAnsi="Times New Roman"/>
          <w:sz w:val="28"/>
          <w:szCs w:val="28"/>
        </w:rPr>
        <w:t>елемент «Багаторічні насадження»</w:t>
      </w:r>
      <w:r w:rsidR="00761BB8" w:rsidRPr="009843FA">
        <w:rPr>
          <w:rFonts w:ascii="Times New Roman" w:hAnsi="Times New Roman"/>
          <w:sz w:val="28"/>
          <w:szCs w:val="28"/>
        </w:rPr>
        <w:t xml:space="preserve"> (PerennialPlants) – застосовується для зазначення бала бонітету агровиробничої групи ґрунтів багаторічних насаджень;</w:t>
      </w:r>
    </w:p>
    <w:p w:rsidR="00761BB8" w:rsidRPr="009843FA" w:rsidRDefault="00473A7E" w:rsidP="00761BB8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2" w:name="n158"/>
      <w:bookmarkEnd w:id="12"/>
      <w:r>
        <w:rPr>
          <w:rFonts w:ascii="Times New Roman" w:hAnsi="Times New Roman"/>
          <w:sz w:val="28"/>
          <w:szCs w:val="28"/>
        </w:rPr>
        <w:t>елемент «Сіножаті»</w:t>
      </w:r>
      <w:r w:rsidR="00761BB8" w:rsidRPr="009843FA">
        <w:rPr>
          <w:rFonts w:ascii="Times New Roman" w:hAnsi="Times New Roman"/>
          <w:sz w:val="28"/>
          <w:szCs w:val="28"/>
        </w:rPr>
        <w:t xml:space="preserve"> (Grasslands) – застосовується для зазначення бала бонітету агровиробничої групи ґрунтів сіножатей;</w:t>
      </w:r>
    </w:p>
    <w:p w:rsidR="00761BB8" w:rsidRDefault="00473A7E" w:rsidP="00761BB8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3" w:name="n159"/>
      <w:bookmarkEnd w:id="13"/>
      <w:r>
        <w:rPr>
          <w:rFonts w:ascii="Times New Roman" w:hAnsi="Times New Roman"/>
          <w:sz w:val="28"/>
          <w:szCs w:val="28"/>
        </w:rPr>
        <w:t>елемент «Пасовища»</w:t>
      </w:r>
      <w:r w:rsidR="00761BB8" w:rsidRPr="009843FA">
        <w:rPr>
          <w:rFonts w:ascii="Times New Roman" w:hAnsi="Times New Roman"/>
          <w:sz w:val="28"/>
          <w:szCs w:val="28"/>
        </w:rPr>
        <w:t xml:space="preserve"> (Pasture) – застосовується для зазначення бала бонітету агровиробничої групи ґрунтів пасовищ.</w:t>
      </w:r>
      <w:r w:rsidR="00761BB8">
        <w:rPr>
          <w:rFonts w:ascii="Times New Roman" w:hAnsi="Times New Roman"/>
          <w:sz w:val="28"/>
          <w:szCs w:val="28"/>
        </w:rPr>
        <w:t>».</w:t>
      </w:r>
    </w:p>
    <w:p w:rsidR="00761BB8" w:rsidRDefault="00761BB8" w:rsidP="00761BB8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61BB8" w:rsidRPr="002B179A" w:rsidRDefault="005F4375" w:rsidP="00761BB8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79A">
        <w:rPr>
          <w:rFonts w:ascii="Times New Roman" w:hAnsi="Times New Roman"/>
          <w:sz w:val="28"/>
          <w:szCs w:val="28"/>
        </w:rPr>
        <w:t>3</w:t>
      </w:r>
      <w:r w:rsidR="00761BB8" w:rsidRPr="002B179A">
        <w:rPr>
          <w:rFonts w:ascii="Times New Roman" w:hAnsi="Times New Roman"/>
          <w:sz w:val="28"/>
          <w:szCs w:val="28"/>
        </w:rPr>
        <w:t>. Пункти 69</w:t>
      </w:r>
      <w:r w:rsidR="00761BB8" w:rsidRPr="002B179A">
        <w:rPr>
          <w:rFonts w:ascii="Times New Roman" w:hAnsi="Times New Roman"/>
          <w:sz w:val="28"/>
          <w:szCs w:val="28"/>
          <w:vertAlign w:val="superscript"/>
        </w:rPr>
        <w:t>10</w:t>
      </w:r>
      <w:r w:rsidR="00761BB8" w:rsidRPr="002B179A">
        <w:rPr>
          <w:rFonts w:ascii="Times New Roman" w:hAnsi="Times New Roman"/>
          <w:sz w:val="28"/>
          <w:szCs w:val="28"/>
        </w:rPr>
        <w:t>-69</w:t>
      </w:r>
      <w:r w:rsidR="00761BB8" w:rsidRPr="002B179A">
        <w:rPr>
          <w:rFonts w:ascii="Times New Roman" w:hAnsi="Times New Roman"/>
          <w:sz w:val="28"/>
          <w:szCs w:val="28"/>
          <w:vertAlign w:val="superscript"/>
        </w:rPr>
        <w:t>15</w:t>
      </w:r>
      <w:r w:rsidR="00761BB8" w:rsidRPr="002B179A">
        <w:rPr>
          <w:rFonts w:ascii="Times New Roman" w:hAnsi="Times New Roman"/>
          <w:sz w:val="28"/>
          <w:szCs w:val="28"/>
        </w:rPr>
        <w:t xml:space="preserve"> </w:t>
      </w:r>
      <w:r w:rsidR="001121B1" w:rsidRPr="002B179A">
        <w:rPr>
          <w:rFonts w:ascii="Times New Roman" w:hAnsi="Times New Roman"/>
          <w:sz w:val="28"/>
          <w:szCs w:val="28"/>
        </w:rPr>
        <w:t xml:space="preserve">та назви розділів </w:t>
      </w:r>
      <w:r w:rsidR="00761BB8" w:rsidRPr="002B179A">
        <w:rPr>
          <w:rFonts w:ascii="Times New Roman" w:hAnsi="Times New Roman"/>
          <w:sz w:val="28"/>
          <w:szCs w:val="28"/>
        </w:rPr>
        <w:t>виключити.</w:t>
      </w:r>
    </w:p>
    <w:p w:rsidR="00761BB8" w:rsidRPr="001121B1" w:rsidRDefault="00761BB8" w:rsidP="00761BB8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1FD2" w:rsidRDefault="005F4375" w:rsidP="00761BB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>. Додаток 4</w:t>
      </w:r>
      <w:r w:rsid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вимог</w:t>
      </w:r>
      <w:r w:rsidR="0011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121B1" w:rsidRPr="00593D9F">
        <w:rPr>
          <w:rFonts w:ascii="Times New Roman" w:eastAsia="Times New Roman" w:hAnsi="Times New Roman" w:cs="Times New Roman"/>
          <w:sz w:val="28"/>
          <w:szCs w:val="28"/>
        </w:rPr>
        <w:t xml:space="preserve">в редакції постанови </w:t>
      </w:r>
      <w:r w:rsidR="00593D9F" w:rsidRPr="00593D9F">
        <w:rPr>
          <w:rFonts w:ascii="Times New Roman" w:eastAsia="Times New Roman" w:hAnsi="Times New Roman" w:cs="Times New Roman"/>
          <w:sz w:val="28"/>
          <w:szCs w:val="28"/>
        </w:rPr>
        <w:t>Кабінету Міністрів України</w:t>
      </w:r>
      <w:r w:rsidR="001121B1" w:rsidRPr="00593D9F">
        <w:rPr>
          <w:rFonts w:ascii="Times New Roman" w:eastAsia="Times New Roman" w:hAnsi="Times New Roman" w:cs="Times New Roman"/>
          <w:sz w:val="28"/>
          <w:szCs w:val="28"/>
        </w:rPr>
        <w:t xml:space="preserve"> від 07</w:t>
      </w:r>
      <w:r w:rsidR="00593D9F" w:rsidRPr="00593D9F">
        <w:rPr>
          <w:rFonts w:ascii="Times New Roman" w:eastAsia="Times New Roman" w:hAnsi="Times New Roman" w:cs="Times New Roman"/>
          <w:sz w:val="28"/>
          <w:szCs w:val="28"/>
        </w:rPr>
        <w:t xml:space="preserve"> лютого </w:t>
      </w:r>
      <w:r w:rsidR="001121B1" w:rsidRPr="00593D9F">
        <w:rPr>
          <w:rFonts w:ascii="Times New Roman" w:eastAsia="Times New Roman" w:hAnsi="Times New Roman" w:cs="Times New Roman"/>
          <w:sz w:val="28"/>
          <w:szCs w:val="28"/>
        </w:rPr>
        <w:t>2018 р</w:t>
      </w:r>
      <w:r w:rsidR="00593D9F" w:rsidRPr="00593D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21B1" w:rsidRPr="00593D9F">
        <w:rPr>
          <w:rFonts w:ascii="Times New Roman" w:eastAsia="Times New Roman" w:hAnsi="Times New Roman" w:cs="Times New Roman"/>
          <w:sz w:val="28"/>
          <w:szCs w:val="28"/>
        </w:rPr>
        <w:t>№ 105)</w:t>
      </w:r>
      <w:r w:rsid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FD2">
        <w:rPr>
          <w:rFonts w:ascii="Times New Roman" w:eastAsia="Times New Roman" w:hAnsi="Times New Roman" w:cs="Times New Roman"/>
          <w:color w:val="000000"/>
          <w:sz w:val="28"/>
          <w:szCs w:val="28"/>
        </w:rPr>
        <w:t>до змісту, структури і технічних характеристик електронного документа визначені додатком 1</w:t>
      </w:r>
      <w:r w:rsid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викласти у такій редакції: </w:t>
      </w:r>
    </w:p>
    <w:p w:rsidR="00761BB8" w:rsidRDefault="00761BB8" w:rsidP="00416E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61BB8" w:rsidSect="00940758">
          <w:headerReference w:type="default" r:id="rId10"/>
          <w:pgSz w:w="11906" w:h="16838"/>
          <w:pgMar w:top="1134" w:right="425" w:bottom="1985" w:left="1701" w:header="567" w:footer="709" w:gutter="0"/>
          <w:cols w:space="708"/>
          <w:titlePg/>
          <w:docGrid w:linePitch="360"/>
        </w:sectPr>
      </w:pPr>
    </w:p>
    <w:p w:rsidR="005C1FD2" w:rsidRDefault="005C1FD2" w:rsidP="005C1F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DCD" w:rsidRDefault="00761BB8" w:rsidP="005F4375">
      <w:pPr>
        <w:shd w:val="clear" w:color="auto" w:fill="FFFFFF"/>
        <w:tabs>
          <w:tab w:val="left" w:pos="14034"/>
        </w:tabs>
        <w:ind w:left="8647" w:right="44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</w:t>
      </w:r>
      <w:r w:rsidR="005C1FD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A2DCD">
        <w:rPr>
          <w:rFonts w:ascii="Times New Roman" w:eastAsia="Times New Roman" w:hAnsi="Times New Roman" w:cs="Times New Roman"/>
          <w:color w:val="000000"/>
          <w:sz w:val="28"/>
          <w:szCs w:val="28"/>
        </w:rPr>
        <w:t>до вимог</w:t>
      </w:r>
    </w:p>
    <w:p w:rsidR="00AA2DCD" w:rsidRDefault="00AA2DCD" w:rsidP="005F4375">
      <w:pPr>
        <w:shd w:val="clear" w:color="auto" w:fill="FFFFFF"/>
        <w:spacing w:before="300" w:after="450"/>
        <w:ind w:right="-31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НОРМАТИВНА ГРОШОВА ОЦІНКА ЗЕМЕЛЬ </w:t>
      </w:r>
    </w:p>
    <w:tbl>
      <w:tblPr>
        <w:tblW w:w="145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911"/>
        <w:gridCol w:w="2634"/>
        <w:gridCol w:w="2634"/>
        <w:gridCol w:w="2302"/>
        <w:gridCol w:w="2559"/>
        <w:gridCol w:w="1514"/>
      </w:tblGrid>
      <w:tr w:rsidR="00AA2DCD" w:rsidTr="00973142">
        <w:trPr>
          <w:trHeight w:val="20"/>
          <w:jc w:val="center"/>
        </w:trPr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UkrainianCadastralExchangeFile/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InfoPart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TerritorialZoneInfo/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Objects/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Lands/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NormativValuation/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NormativValuation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Нормативна грошова оцінка земель 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13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елемента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 інформація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13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Блок опису зовнішніх полігонів оціночної території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typeBoundary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Межа оціночної території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 дані згідно з додатком 11 до вимог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Блок опису внутрішніх полігонів оціночної території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typeBoundary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Межа внутрішнього полігона оціночної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території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DescriptionOfTerritory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 території, оцінка земель якої проведена</w:t>
            </w:r>
          </w:p>
        </w:tc>
        <w:tc>
          <w:tcPr>
            <w:tcW w:w="2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та КОАТУУ регіону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регіону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KOATUU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класифікатора об’єктів адміністративно-територіального устрою України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району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сільської, селищної, міської ради або території об’єднаної територіальної громади (або їх частини)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Чисельність населення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AreaTerritory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 оціночної території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MeasurementUnit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Одиниці виміру площі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гектарів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Значення площі</w:t>
            </w:r>
          </w:p>
        </w:tc>
        <w:tc>
          <w:tcPr>
            <w:tcW w:w="2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DeterminationMethod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Метод визначення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площі</w:t>
            </w:r>
          </w:p>
        </w:tc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ExhangeFileCoordinates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координатами вузлів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полігона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ValuationYear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Рік виконання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Nrd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капіталізованого рентного доходу для земель житлової та громадської забудови, земель рекреаційного призначення, земель промисловості, транспорту, зв’язку, енергетики, оборони та іншого призначення (Нрд)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Км1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 який враховує розташування громади в межах зони впливу великих міст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3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Км2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 який враховує курортно-рекреаційне значення населених пунктів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4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Км3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 який враховує розташування громади в межах зон радіаційного забруднення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5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Kmc1</w:t>
            </w:r>
          </w:p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 враховує особливості використання земельної ділянки в межах категорії земель за основним цільовим призначенням (Кмц), для земель житлової та громадської забудови, земель рекреаційного призначення, земель промисловості, транспорту, зв’язку, енергетики, оборони та іншого призначення (в межах населених пунктів), а також для земельних ділянок, які не віднесені до категорії земель за основним цільовим призначенням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10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KmcIndustry</w:t>
            </w:r>
          </w:p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який враховує особливості використання земельної ділянки в межах категорії земель за основним цільовим призначенням (Кмц), для земель промисловості, транспорту, зв’язку, енергетики, оборони та іншого призначення (за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межами населених пунктів)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11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KmcHealth</w:t>
            </w:r>
          </w:p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який враховує особливості використання земельної ділянки в межах категорії земель за основним цільовим призначенням (Кмц), для земель оздоровчого призначення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12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KmcNatureReserve</w:t>
            </w:r>
          </w:p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 враховує особливості використання земельної ділянки в межах категорії земель за основним цільовим призначенням (Кмц), для земель історико-культурного призначення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12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Kls</w:t>
            </w:r>
          </w:p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 враховує фактичну лісистість території (Клс)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14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ValuationDistricts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Оціночні райони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ValuationDistrict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Оціночний район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DistrictNumber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Ідентифікатор (номер) оціночного району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Км4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Коефіцієнт, який характеризує зональні фактори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місцеположення земельної ділянки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6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Klk</w:t>
            </w:r>
          </w:p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Коефіцієнт,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 враховує категорію лісів (Клк)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 13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DistrictArea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 оціночного району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MeasurementUnit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Одиниці виміру площі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гектарів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Значення площі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DeterminationMethod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 визначення площі земельної ділянки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ExhangeFileCoordinates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координатами вузлів полігона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Externals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опису зовнішніх полігонів економіко-планувальні зони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Boundary</w:t>
            </w:r>
          </w:p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typeBoundary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 економіко-планувальні зони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Зазначаються дані згідно з </w:t>
            </w:r>
            <w:hyperlink r:id="rId11" w:anchor="n3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додатком 11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вимог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Internals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опису внутрішніх полігонів економіко-планувальні зони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Boundary</w:t>
            </w:r>
          </w:p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typeBoundary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 внутрішнього полігона економіко-планувальні зони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Зазначаються дані згідно з </w:t>
            </w:r>
            <w:hyperlink r:id="rId12" w:anchor="n3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додатком 11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вимог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NaturalAgriculturalsDistrict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Природно-сільськогосподарські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райони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Externals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Блок опису зовнішніх полігонів природно-сільськогосподарського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району в межах оціночної території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typeBoundary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Межа природно-сільськогосподарського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району в межах оціночної території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зазначаються дані згідно з додатком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 до вимог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Блок опису внутрішніх полігонів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BoundarytypeBoundary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Межа внутрішнього полігона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AreaAgrDistrict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 природно-сільськогосподарського району в межах оціночної території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MeasurementUnit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Одиниці виміру площі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Значення площі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DeterminationMethod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 визначення площі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AgrDistrictNumber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Номер природно-сільськогосподарського району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AgrDistrictName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Назва природно-сільськогосподарського району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Kpsgr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Коефіцієнт, який враховує розташування громади в межах природно-сільськогосподарського району, для відповідного угіддя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Arable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Рілля, перелоги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PerennialPlants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Багаторічні насадження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Сіножаті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Пасовища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Nsg</w:t>
            </w:r>
          </w:p>
          <w:p w:rsidR="00AA2DCD" w:rsidRDefault="00AA2DCD" w:rsidP="00973142">
            <w:pPr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несільськогосподарські угідя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Bpsgr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Середній бал бонітету ґрунтів відповідного сільськогосподарського угіддя природно-сільськогосподарського району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Рілля, перелоги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PerennialPlants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Багаторічні насадження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Сіножаті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Пасовища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AgroGroups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Агровиробничі групи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ґрунтів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CodeAgroGroup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Шифр агровиробничої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групи ґрунтів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зазначаються дані згідно з додатком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 до Порядку ведення Державного земельного кадастру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AgroGroupArea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 агровиробничої групи ґрунтів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MeasurementUnit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Одиниці виміру площі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гектарів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Значення площі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DeterminationMethod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 визначення площі агровиробничої групи ґрунтів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ExhangeFileCoordinates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координатами вузлів полігона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Блок опису зовнішніх полігонів агровиробничої групи ґрунтів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typeBoundary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Межа агровиробничої групи ґрунтів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 дані згідно з </w:t>
            </w:r>
            <w:hyperlink r:id="rId13" w:anchor="n3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додатком 11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 вимог</w:t>
            </w: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Блок опису внутрішніх полігонів агровиробничої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групи ґрунтів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typeBoundary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Межа внутрішнього полігона агровиробничої групи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ґрунтів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Бал бонітету агровиробничої групи ґрунтів відповідного сільськогосподарського угіддя природно-сільськогосподарського району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Рілля, перелоги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PerennialPlants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Багаторічні насадження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Сіножаті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  <w:tr w:rsidR="00AA2DCD" w:rsidTr="00973142">
        <w:trPr>
          <w:trHeight w:val="2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spacing w:before="150" w:after="150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Пасовища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DCD" w:rsidRDefault="00AA2DCD" w:rsidP="00973142">
            <w:pPr>
              <w:rPr>
                <w:color w:val="000000"/>
              </w:rPr>
            </w:pPr>
          </w:p>
        </w:tc>
      </w:tr>
    </w:tbl>
    <w:p w:rsidR="001121B1" w:rsidRDefault="001121B1" w:rsidP="00A312FD">
      <w:pPr>
        <w:widowControl w:val="0"/>
        <w:shd w:val="clear" w:color="auto" w:fill="FFFFFF"/>
        <w:spacing w:before="300" w:after="45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A2DCD" w:rsidRDefault="00405744" w:rsidP="00416EAD">
      <w:pPr>
        <w:widowControl w:val="0"/>
        <w:shd w:val="clear" w:color="auto" w:fill="FFFFFF"/>
        <w:spacing w:before="300" w:after="4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>. Додатки 4</w:t>
      </w:r>
      <w:r w:rsidR="00761BB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16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56 до вимог виключити.</w:t>
      </w:r>
    </w:p>
    <w:p w:rsidR="00761BB8" w:rsidRDefault="00761BB8" w:rsidP="00761BB8">
      <w:pPr>
        <w:widowControl w:val="0"/>
        <w:shd w:val="clear" w:color="auto" w:fill="FFFFFF"/>
        <w:spacing w:before="300" w:after="45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bookmarkStart w:id="14" w:name="_GoBack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sectPr w:rsidR="00761BB8" w:rsidSect="00286F55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6C" w:rsidRDefault="004D196C" w:rsidP="003D19DF">
      <w:r>
        <w:separator/>
      </w:r>
    </w:p>
  </w:endnote>
  <w:endnote w:type="continuationSeparator" w:id="1">
    <w:p w:rsidR="004D196C" w:rsidRDefault="004D196C" w:rsidP="003D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6C" w:rsidRDefault="004D196C" w:rsidP="003D19DF">
      <w:r>
        <w:separator/>
      </w:r>
    </w:p>
  </w:footnote>
  <w:footnote w:type="continuationSeparator" w:id="1">
    <w:p w:rsidR="004D196C" w:rsidRDefault="004D196C" w:rsidP="003D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6061"/>
      <w:docPartObj>
        <w:docPartGallery w:val="Page Numbers (Top of Page)"/>
        <w:docPartUnique/>
      </w:docPartObj>
    </w:sdtPr>
    <w:sdtContent>
      <w:p w:rsidR="003D19DF" w:rsidRDefault="00794C5C">
        <w:pPr>
          <w:pStyle w:val="a4"/>
          <w:jc w:val="center"/>
        </w:pPr>
        <w:fldSimple w:instr=" PAGE   \* MERGEFORMAT ">
          <w:r w:rsidR="00A312FD">
            <w:rPr>
              <w:noProof/>
            </w:rPr>
            <w:t>16</w:t>
          </w:r>
        </w:fldSimple>
      </w:p>
    </w:sdtContent>
  </w:sdt>
  <w:p w:rsidR="003D19DF" w:rsidRDefault="003D19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973"/>
    <w:multiLevelType w:val="hybridMultilevel"/>
    <w:tmpl w:val="590207B8"/>
    <w:lvl w:ilvl="0" w:tplc="926A599C">
      <w:start w:val="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DCD"/>
    <w:rsid w:val="001121B1"/>
    <w:rsid w:val="00114BDC"/>
    <w:rsid w:val="0014684D"/>
    <w:rsid w:val="002B179A"/>
    <w:rsid w:val="002F5FC7"/>
    <w:rsid w:val="0030660C"/>
    <w:rsid w:val="003432EB"/>
    <w:rsid w:val="00376695"/>
    <w:rsid w:val="003D19DF"/>
    <w:rsid w:val="00405744"/>
    <w:rsid w:val="00416EAD"/>
    <w:rsid w:val="004269C5"/>
    <w:rsid w:val="00473A7E"/>
    <w:rsid w:val="004D196C"/>
    <w:rsid w:val="004E47A7"/>
    <w:rsid w:val="00593D9F"/>
    <w:rsid w:val="005C1FD2"/>
    <w:rsid w:val="005F4375"/>
    <w:rsid w:val="006B3239"/>
    <w:rsid w:val="006B686D"/>
    <w:rsid w:val="00727A1A"/>
    <w:rsid w:val="00734CF3"/>
    <w:rsid w:val="00761BB8"/>
    <w:rsid w:val="00794C5C"/>
    <w:rsid w:val="007F59BC"/>
    <w:rsid w:val="00940758"/>
    <w:rsid w:val="009B334A"/>
    <w:rsid w:val="00A312FD"/>
    <w:rsid w:val="00AA2DCD"/>
    <w:rsid w:val="00C41E56"/>
    <w:rsid w:val="00CF69B0"/>
    <w:rsid w:val="00E7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DCD"/>
    <w:pPr>
      <w:spacing w:after="0" w:line="240" w:lineRule="auto"/>
      <w:ind w:firstLine="709"/>
    </w:pPr>
    <w:rPr>
      <w:rFonts w:ascii="Calibri" w:eastAsia="Calibri" w:hAnsi="Calibri" w:cs="Calibri"/>
      <w:sz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AD"/>
    <w:pPr>
      <w:ind w:left="720"/>
      <w:contextualSpacing/>
    </w:pPr>
  </w:style>
  <w:style w:type="character" w:customStyle="1" w:styleId="m1">
    <w:name w:val="m1"/>
    <w:rsid w:val="00761BB8"/>
    <w:rPr>
      <w:color w:val="0000FF"/>
    </w:rPr>
  </w:style>
  <w:style w:type="paragraph" w:styleId="a4">
    <w:name w:val="header"/>
    <w:basedOn w:val="a"/>
    <w:link w:val="a5"/>
    <w:uiPriority w:val="99"/>
    <w:unhideWhenUsed/>
    <w:rsid w:val="003D1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19DF"/>
    <w:rPr>
      <w:rFonts w:ascii="Calibri" w:eastAsia="Calibri" w:hAnsi="Calibri" w:cs="Calibri"/>
      <w:sz w:val="22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3D1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9DF"/>
    <w:rPr>
      <w:rFonts w:ascii="Calibri" w:eastAsia="Calibri" w:hAnsi="Calibri" w:cs="Calibri"/>
      <w:sz w:val="2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1%D0%B0-2012-%D0%BF" TargetMode="External"/><Relationship Id="rId13" Type="http://schemas.openxmlformats.org/officeDocument/2006/relationships/hyperlink" Target="https://zakon.rada.gov.ua/laws/show/1051%25D0%25B0-2012-%25D0%25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1051%25D0%25B0-2012-%25D0%25BF/print13901618866952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1051%25D0%25B0-2012-%25D0%25BF/print13901618866952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051%D0%B1-2012-%D0%BF/paran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0A31-F55F-4BBF-BDF1-CF6F8360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3109</Words>
  <Characters>17722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Прокопенко</dc:creator>
  <cp:lastModifiedBy>Home</cp:lastModifiedBy>
  <cp:revision>14</cp:revision>
  <dcterms:created xsi:type="dcterms:W3CDTF">2020-10-20T13:39:00Z</dcterms:created>
  <dcterms:modified xsi:type="dcterms:W3CDTF">2020-10-23T09:12:00Z</dcterms:modified>
</cp:coreProperties>
</file>