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7E" w:rsidRPr="003611BA" w:rsidRDefault="00CF2C24" w:rsidP="004511F2">
      <w:pPr>
        <w:jc w:val="center"/>
        <w:rPr>
          <w:b/>
          <w:sz w:val="28"/>
          <w:szCs w:val="28"/>
        </w:rPr>
      </w:pPr>
      <w:r w:rsidRPr="003611BA">
        <w:rPr>
          <w:b/>
          <w:sz w:val="28"/>
          <w:szCs w:val="28"/>
        </w:rPr>
        <w:t>ПОЯСНЮВАЛЬНА ЗАПИСКА</w:t>
      </w:r>
    </w:p>
    <w:p w:rsidR="002F5B6F" w:rsidRPr="003611BA" w:rsidRDefault="004511F2" w:rsidP="00877F1F">
      <w:pPr>
        <w:jc w:val="center"/>
        <w:rPr>
          <w:b/>
          <w:sz w:val="28"/>
          <w:szCs w:val="28"/>
        </w:rPr>
      </w:pPr>
      <w:r w:rsidRPr="003611BA">
        <w:rPr>
          <w:b/>
          <w:sz w:val="28"/>
          <w:szCs w:val="28"/>
        </w:rPr>
        <w:t xml:space="preserve">до проекту </w:t>
      </w:r>
      <w:r w:rsidR="00EA726D" w:rsidRPr="003611BA">
        <w:rPr>
          <w:b/>
          <w:sz w:val="28"/>
          <w:szCs w:val="28"/>
        </w:rPr>
        <w:t>постанови</w:t>
      </w:r>
      <w:r w:rsidRPr="003611BA">
        <w:rPr>
          <w:b/>
          <w:sz w:val="28"/>
          <w:szCs w:val="28"/>
        </w:rPr>
        <w:t xml:space="preserve"> Кабінету Міністрів України</w:t>
      </w:r>
    </w:p>
    <w:p w:rsidR="002F5B6F" w:rsidRPr="003611BA" w:rsidRDefault="004511F2" w:rsidP="00877F1F">
      <w:pPr>
        <w:jc w:val="center"/>
        <w:rPr>
          <w:b/>
          <w:sz w:val="28"/>
          <w:szCs w:val="28"/>
        </w:rPr>
      </w:pPr>
      <w:r w:rsidRPr="003611BA">
        <w:rPr>
          <w:b/>
          <w:sz w:val="28"/>
          <w:szCs w:val="28"/>
        </w:rPr>
        <w:t xml:space="preserve"> </w:t>
      </w:r>
      <w:r w:rsidR="002F5B6F" w:rsidRPr="003611BA">
        <w:rPr>
          <w:b/>
          <w:snapToGrid w:val="0"/>
          <w:sz w:val="28"/>
          <w:szCs w:val="28"/>
        </w:rPr>
        <w:t>«</w:t>
      </w:r>
      <w:r w:rsidRPr="003611BA">
        <w:rPr>
          <w:b/>
          <w:sz w:val="28"/>
          <w:szCs w:val="28"/>
        </w:rPr>
        <w:t xml:space="preserve">Про </w:t>
      </w:r>
      <w:r w:rsidR="00C72F25" w:rsidRPr="003611BA">
        <w:rPr>
          <w:b/>
          <w:sz w:val="28"/>
          <w:szCs w:val="28"/>
        </w:rPr>
        <w:t>визнання</w:t>
      </w:r>
      <w:r w:rsidR="002F5B6F" w:rsidRPr="003611BA">
        <w:rPr>
          <w:b/>
          <w:sz w:val="28"/>
          <w:szCs w:val="28"/>
        </w:rPr>
        <w:t xml:space="preserve"> такими, що втратили чинність, деяких </w:t>
      </w:r>
    </w:p>
    <w:p w:rsidR="004511F2" w:rsidRPr="003611BA" w:rsidRDefault="002F5B6F" w:rsidP="00877F1F">
      <w:pPr>
        <w:jc w:val="center"/>
        <w:rPr>
          <w:b/>
          <w:sz w:val="28"/>
          <w:szCs w:val="28"/>
        </w:rPr>
      </w:pPr>
      <w:r w:rsidRPr="003611BA">
        <w:rPr>
          <w:b/>
          <w:sz w:val="28"/>
          <w:szCs w:val="28"/>
        </w:rPr>
        <w:t>постанов Кабінету Міністрів України»</w:t>
      </w:r>
      <w:r w:rsidR="004511F2" w:rsidRPr="003611BA">
        <w:rPr>
          <w:b/>
          <w:sz w:val="28"/>
          <w:szCs w:val="28"/>
        </w:rPr>
        <w:t xml:space="preserve"> </w:t>
      </w:r>
    </w:p>
    <w:p w:rsidR="004511F2" w:rsidRPr="003611BA" w:rsidRDefault="004511F2" w:rsidP="004511F2">
      <w:pPr>
        <w:jc w:val="center"/>
        <w:rPr>
          <w:sz w:val="28"/>
          <w:szCs w:val="28"/>
        </w:rPr>
      </w:pPr>
    </w:p>
    <w:p w:rsidR="00C554DF" w:rsidRPr="003611BA" w:rsidRDefault="00213A56" w:rsidP="007407F1">
      <w:pPr>
        <w:ind w:firstLine="708"/>
        <w:jc w:val="both"/>
        <w:rPr>
          <w:color w:val="000000"/>
          <w:sz w:val="28"/>
          <w:szCs w:val="28"/>
          <w:lang w:bidi="uk-UA"/>
        </w:rPr>
      </w:pPr>
      <w:r w:rsidRPr="00493708">
        <w:rPr>
          <w:bCs/>
          <w:color w:val="000000"/>
          <w:sz w:val="28"/>
          <w:szCs w:val="28"/>
          <w:lang w:bidi="uk-UA"/>
        </w:rPr>
        <w:t>Мета:</w:t>
      </w:r>
      <w:r w:rsidRPr="00493708">
        <w:rPr>
          <w:b/>
          <w:bCs/>
          <w:color w:val="000000"/>
          <w:sz w:val="28"/>
          <w:szCs w:val="28"/>
          <w:lang w:bidi="uk-UA"/>
        </w:rPr>
        <w:t xml:space="preserve"> </w:t>
      </w:r>
      <w:r w:rsidR="00C554DF" w:rsidRPr="00493708">
        <w:rPr>
          <w:color w:val="000000"/>
          <w:sz w:val="28"/>
          <w:szCs w:val="28"/>
          <w:lang w:bidi="uk-UA"/>
        </w:rPr>
        <w:t xml:space="preserve">зменшення регуляторного тиску на бізнес та приведення </w:t>
      </w:r>
      <w:r w:rsidR="00413559" w:rsidRPr="00493708">
        <w:rPr>
          <w:color w:val="000000"/>
          <w:sz w:val="28"/>
          <w:szCs w:val="28"/>
          <w:lang w:bidi="uk-UA"/>
        </w:rPr>
        <w:t xml:space="preserve">нормативно-правових актів </w:t>
      </w:r>
      <w:r w:rsidR="00C554DF" w:rsidRPr="00493708">
        <w:rPr>
          <w:color w:val="000000"/>
          <w:sz w:val="28"/>
          <w:szCs w:val="28"/>
          <w:lang w:bidi="uk-UA"/>
        </w:rPr>
        <w:t xml:space="preserve">у відповідність до актів вищої юридичної сили </w:t>
      </w:r>
      <w:r w:rsidR="00EA2030" w:rsidRPr="00493708">
        <w:rPr>
          <w:color w:val="000000"/>
          <w:sz w:val="28"/>
          <w:szCs w:val="28"/>
          <w:lang w:bidi="uk-UA"/>
        </w:rPr>
        <w:t>в частині</w:t>
      </w:r>
      <w:r w:rsidR="00C554DF" w:rsidRPr="00493708">
        <w:rPr>
          <w:color w:val="000000"/>
          <w:sz w:val="28"/>
          <w:szCs w:val="28"/>
          <w:lang w:bidi="uk-UA"/>
        </w:rPr>
        <w:t xml:space="preserve"> отримання суб’єктами</w:t>
      </w:r>
      <w:r w:rsidR="00C554DF">
        <w:rPr>
          <w:color w:val="000000"/>
          <w:sz w:val="28"/>
          <w:szCs w:val="28"/>
          <w:lang w:bidi="uk-UA"/>
        </w:rPr>
        <w:t xml:space="preserve"> господарювання відповідних висновків.</w:t>
      </w:r>
    </w:p>
    <w:p w:rsidR="00213A56" w:rsidRPr="003611BA" w:rsidRDefault="00213A56" w:rsidP="007407F1">
      <w:pPr>
        <w:widowControl w:val="0"/>
        <w:ind w:right="-40" w:firstLine="708"/>
        <w:jc w:val="both"/>
        <w:rPr>
          <w:color w:val="000000"/>
          <w:sz w:val="28"/>
          <w:szCs w:val="28"/>
          <w:lang w:bidi="uk-UA"/>
        </w:rPr>
      </w:pPr>
    </w:p>
    <w:p w:rsidR="00213A56" w:rsidRPr="003611BA" w:rsidRDefault="00213A56" w:rsidP="007407F1">
      <w:pPr>
        <w:keepNext/>
        <w:keepLines/>
        <w:widowControl w:val="0"/>
        <w:tabs>
          <w:tab w:val="left" w:pos="867"/>
        </w:tabs>
        <w:ind w:firstLine="708"/>
        <w:jc w:val="both"/>
        <w:outlineLvl w:val="2"/>
        <w:rPr>
          <w:b/>
          <w:bCs/>
          <w:color w:val="000000"/>
          <w:sz w:val="28"/>
          <w:szCs w:val="28"/>
          <w:lang w:bidi="uk-UA"/>
        </w:rPr>
      </w:pPr>
      <w:r w:rsidRPr="003611BA">
        <w:rPr>
          <w:b/>
          <w:bCs/>
          <w:color w:val="000000"/>
          <w:sz w:val="28"/>
          <w:szCs w:val="28"/>
          <w:lang w:bidi="uk-UA"/>
        </w:rPr>
        <w:t>1.</w:t>
      </w:r>
      <w:r w:rsidR="00590FB9" w:rsidRPr="003611BA">
        <w:rPr>
          <w:b/>
          <w:bCs/>
          <w:color w:val="000000"/>
          <w:sz w:val="28"/>
          <w:szCs w:val="28"/>
          <w:lang w:bidi="uk-UA"/>
        </w:rPr>
        <w:t xml:space="preserve"> </w:t>
      </w:r>
      <w:r w:rsidRPr="003611BA">
        <w:rPr>
          <w:b/>
          <w:bCs/>
          <w:color w:val="000000"/>
          <w:sz w:val="28"/>
          <w:szCs w:val="28"/>
          <w:lang w:bidi="uk-UA"/>
        </w:rPr>
        <w:t>Підстава розроблення проекту постанови</w:t>
      </w:r>
    </w:p>
    <w:p w:rsidR="00213A56" w:rsidRPr="003611BA" w:rsidRDefault="00213A56" w:rsidP="007407F1">
      <w:pPr>
        <w:ind w:firstLine="708"/>
        <w:jc w:val="both"/>
        <w:rPr>
          <w:snapToGrid w:val="0"/>
          <w:sz w:val="28"/>
          <w:szCs w:val="28"/>
        </w:rPr>
      </w:pPr>
      <w:r w:rsidRPr="003611BA">
        <w:rPr>
          <w:snapToGrid w:val="0"/>
          <w:sz w:val="28"/>
          <w:szCs w:val="28"/>
        </w:rPr>
        <w:t xml:space="preserve">Проект постанови Кабінету Міністрів України </w:t>
      </w:r>
      <w:r w:rsidR="002F5B6F" w:rsidRPr="003611BA">
        <w:rPr>
          <w:snapToGrid w:val="0"/>
          <w:sz w:val="28"/>
          <w:szCs w:val="28"/>
        </w:rPr>
        <w:t>«</w:t>
      </w:r>
      <w:r w:rsidRPr="003611BA">
        <w:rPr>
          <w:snapToGrid w:val="0"/>
          <w:sz w:val="28"/>
          <w:szCs w:val="28"/>
        </w:rPr>
        <w:t xml:space="preserve">Про </w:t>
      </w:r>
      <w:r w:rsidR="002F5B6F" w:rsidRPr="003611BA">
        <w:rPr>
          <w:snapToGrid w:val="0"/>
          <w:sz w:val="28"/>
          <w:szCs w:val="28"/>
        </w:rPr>
        <w:t>визнання такими, що втратили чинність, деяких постанов Кабінету Міністрів України» (далі – проект постанови)</w:t>
      </w:r>
      <w:r w:rsidRPr="003611BA">
        <w:rPr>
          <w:snapToGrid w:val="0"/>
          <w:sz w:val="28"/>
          <w:szCs w:val="28"/>
        </w:rPr>
        <w:t xml:space="preserve"> розроблено </w:t>
      </w:r>
      <w:r w:rsidR="00BA6177" w:rsidRPr="003611BA">
        <w:rPr>
          <w:snapToGrid w:val="0"/>
          <w:sz w:val="28"/>
          <w:szCs w:val="28"/>
        </w:rPr>
        <w:t>за ініціативи Мінекономрозвитку</w:t>
      </w:r>
      <w:r w:rsidR="002F5B6F" w:rsidRPr="003611BA">
        <w:rPr>
          <w:snapToGrid w:val="0"/>
          <w:sz w:val="28"/>
          <w:szCs w:val="28"/>
        </w:rPr>
        <w:t xml:space="preserve"> за результатами перегляду нормативно-правових актів</w:t>
      </w:r>
      <w:r w:rsidR="004E4860">
        <w:rPr>
          <w:snapToGrid w:val="0"/>
          <w:sz w:val="28"/>
          <w:szCs w:val="28"/>
        </w:rPr>
        <w:t xml:space="preserve">, </w:t>
      </w:r>
      <w:r w:rsidR="00CE115A">
        <w:rPr>
          <w:snapToGrid w:val="0"/>
          <w:sz w:val="28"/>
          <w:szCs w:val="28"/>
        </w:rPr>
        <w:t xml:space="preserve">якими </w:t>
      </w:r>
      <w:r w:rsidR="002F5B6F" w:rsidRPr="003611BA">
        <w:rPr>
          <w:snapToGrid w:val="0"/>
          <w:sz w:val="28"/>
          <w:szCs w:val="28"/>
        </w:rPr>
        <w:t>регулюють</w:t>
      </w:r>
      <w:r w:rsidR="00CE115A">
        <w:rPr>
          <w:snapToGrid w:val="0"/>
          <w:sz w:val="28"/>
          <w:szCs w:val="28"/>
        </w:rPr>
        <w:t>ся</w:t>
      </w:r>
      <w:r w:rsidR="002F5B6F" w:rsidRPr="003611BA">
        <w:rPr>
          <w:snapToGrid w:val="0"/>
          <w:sz w:val="28"/>
          <w:szCs w:val="28"/>
        </w:rPr>
        <w:t xml:space="preserve"> </w:t>
      </w:r>
      <w:r w:rsidR="00CE115A">
        <w:rPr>
          <w:snapToGrid w:val="0"/>
          <w:sz w:val="28"/>
          <w:szCs w:val="28"/>
        </w:rPr>
        <w:t xml:space="preserve">питання </w:t>
      </w:r>
      <w:r w:rsidR="002F5B6F" w:rsidRPr="003611BA">
        <w:rPr>
          <w:snapToGrid w:val="0"/>
          <w:sz w:val="28"/>
          <w:szCs w:val="28"/>
        </w:rPr>
        <w:t>необхідн</w:t>
      </w:r>
      <w:r w:rsidR="00CE115A">
        <w:rPr>
          <w:snapToGrid w:val="0"/>
          <w:sz w:val="28"/>
          <w:szCs w:val="28"/>
        </w:rPr>
        <w:t>о</w:t>
      </w:r>
      <w:r w:rsidR="002F5B6F" w:rsidRPr="003611BA">
        <w:rPr>
          <w:snapToGrid w:val="0"/>
          <w:sz w:val="28"/>
          <w:szCs w:val="28"/>
        </w:rPr>
        <w:t>ст</w:t>
      </w:r>
      <w:r w:rsidR="00CE115A">
        <w:rPr>
          <w:snapToGrid w:val="0"/>
          <w:sz w:val="28"/>
          <w:szCs w:val="28"/>
        </w:rPr>
        <w:t>і</w:t>
      </w:r>
      <w:r w:rsidR="002F5B6F" w:rsidRPr="003611BA">
        <w:rPr>
          <w:snapToGrid w:val="0"/>
          <w:sz w:val="28"/>
          <w:szCs w:val="28"/>
        </w:rPr>
        <w:t xml:space="preserve"> отримання суб’єктами господарювання відповідних висновків</w:t>
      </w:r>
      <w:r w:rsidR="00CE115A">
        <w:rPr>
          <w:snapToGrid w:val="0"/>
          <w:sz w:val="28"/>
          <w:szCs w:val="28"/>
        </w:rPr>
        <w:t>,</w:t>
      </w:r>
      <w:r w:rsidR="002F5B6F" w:rsidRPr="003611BA">
        <w:rPr>
          <w:snapToGrid w:val="0"/>
          <w:sz w:val="28"/>
          <w:szCs w:val="28"/>
        </w:rPr>
        <w:t xml:space="preserve"> на виконання</w:t>
      </w:r>
      <w:r w:rsidRPr="003611BA">
        <w:rPr>
          <w:snapToGrid w:val="0"/>
          <w:sz w:val="28"/>
          <w:szCs w:val="28"/>
        </w:rPr>
        <w:t xml:space="preserve"> </w:t>
      </w:r>
      <w:r w:rsidR="002F5B6F" w:rsidRPr="003611BA">
        <w:rPr>
          <w:snapToGrid w:val="0"/>
          <w:sz w:val="28"/>
          <w:szCs w:val="28"/>
        </w:rPr>
        <w:t>пункту 3</w:t>
      </w:r>
      <w:r w:rsidR="00F05312" w:rsidRPr="003611BA">
        <w:rPr>
          <w:snapToGrid w:val="0"/>
          <w:sz w:val="28"/>
          <w:szCs w:val="28"/>
        </w:rPr>
        <w:t>1</w:t>
      </w:r>
      <w:r w:rsidR="002F5B6F" w:rsidRPr="003611BA">
        <w:rPr>
          <w:snapToGrid w:val="0"/>
          <w:sz w:val="28"/>
          <w:szCs w:val="28"/>
        </w:rPr>
        <w:t xml:space="preserve"> Плану пріоритетних дій Уряду на 201</w:t>
      </w:r>
      <w:r w:rsidR="00590E88" w:rsidRPr="0018279C">
        <w:rPr>
          <w:snapToGrid w:val="0"/>
          <w:sz w:val="28"/>
          <w:szCs w:val="28"/>
        </w:rPr>
        <w:t>9</w:t>
      </w:r>
      <w:r w:rsidR="002F5B6F" w:rsidRPr="003611BA">
        <w:rPr>
          <w:snapToGrid w:val="0"/>
          <w:sz w:val="28"/>
          <w:szCs w:val="28"/>
        </w:rPr>
        <w:t xml:space="preserve"> рік, затвердженого розпорядженням Кабінету Міністрів України від </w:t>
      </w:r>
      <w:r w:rsidR="00F05312" w:rsidRPr="003611BA">
        <w:rPr>
          <w:snapToGrid w:val="0"/>
          <w:sz w:val="28"/>
          <w:szCs w:val="28"/>
        </w:rPr>
        <w:t>18 грудня</w:t>
      </w:r>
      <w:r w:rsidR="002F5B6F" w:rsidRPr="003611BA">
        <w:rPr>
          <w:snapToGrid w:val="0"/>
          <w:sz w:val="28"/>
          <w:szCs w:val="28"/>
        </w:rPr>
        <w:t xml:space="preserve"> 2018 року № </w:t>
      </w:r>
      <w:r w:rsidR="00F05312" w:rsidRPr="003611BA">
        <w:rPr>
          <w:snapToGrid w:val="0"/>
          <w:sz w:val="28"/>
          <w:szCs w:val="28"/>
        </w:rPr>
        <w:t>1106</w:t>
      </w:r>
      <w:r w:rsidR="00F34A2C">
        <w:rPr>
          <w:snapToGrid w:val="0"/>
          <w:sz w:val="28"/>
          <w:szCs w:val="28"/>
        </w:rPr>
        <w:t>,</w:t>
      </w:r>
      <w:r w:rsidR="00F05312" w:rsidRPr="003611BA">
        <w:rPr>
          <w:snapToGrid w:val="0"/>
          <w:sz w:val="28"/>
          <w:szCs w:val="28"/>
        </w:rPr>
        <w:t xml:space="preserve"> стосовно зменшення регуляторного тиску на бізнес шляхом очищення регуляторного поля від застарілих, надлишкових і неактуальних нормативно-правових актів.</w:t>
      </w:r>
    </w:p>
    <w:p w:rsidR="00C72F25" w:rsidRPr="003611BA" w:rsidRDefault="00C72F25" w:rsidP="007407F1">
      <w:pPr>
        <w:ind w:firstLine="708"/>
        <w:jc w:val="both"/>
        <w:rPr>
          <w:snapToGrid w:val="0"/>
          <w:sz w:val="28"/>
          <w:szCs w:val="28"/>
        </w:rPr>
      </w:pPr>
      <w:r w:rsidRPr="003611BA">
        <w:rPr>
          <w:snapToGrid w:val="0"/>
          <w:sz w:val="28"/>
          <w:szCs w:val="28"/>
        </w:rPr>
        <w:t>Відповідно до Розділу ІХ Програми діяльності Кабінету Міністрів України, схваленої постановою Верховної Ради України від 14 квітня 2016 року № 1099-VІІІ, Кабінет Міністрів Укр</w:t>
      </w:r>
      <w:r w:rsidR="003949BF">
        <w:rPr>
          <w:snapToGrid w:val="0"/>
          <w:sz w:val="28"/>
          <w:szCs w:val="28"/>
        </w:rPr>
        <w:t>аїни зосереджується на виконанні</w:t>
      </w:r>
      <w:r w:rsidRPr="003611BA">
        <w:rPr>
          <w:snapToGrid w:val="0"/>
          <w:sz w:val="28"/>
          <w:szCs w:val="28"/>
        </w:rPr>
        <w:t xml:space="preserve"> завдань щодо поліпшення умов ведення бізнесу в Україні.</w:t>
      </w:r>
    </w:p>
    <w:p w:rsidR="00213A56" w:rsidRPr="003611BA" w:rsidRDefault="00213A56" w:rsidP="007407F1">
      <w:pPr>
        <w:ind w:firstLine="708"/>
        <w:rPr>
          <w:sz w:val="28"/>
          <w:szCs w:val="28"/>
          <w:lang w:bidi="uk-UA"/>
        </w:rPr>
      </w:pPr>
    </w:p>
    <w:p w:rsidR="00213A56" w:rsidRPr="00493708" w:rsidRDefault="00213A56" w:rsidP="007407F1">
      <w:pPr>
        <w:keepNext/>
        <w:keepLines/>
        <w:widowControl w:val="0"/>
        <w:tabs>
          <w:tab w:val="left" w:pos="284"/>
        </w:tabs>
        <w:ind w:firstLine="708"/>
        <w:jc w:val="both"/>
        <w:outlineLvl w:val="2"/>
        <w:rPr>
          <w:b/>
          <w:bCs/>
          <w:color w:val="000000"/>
          <w:sz w:val="28"/>
          <w:szCs w:val="28"/>
          <w:lang w:bidi="uk-UA"/>
        </w:rPr>
      </w:pPr>
      <w:r w:rsidRPr="00493708">
        <w:rPr>
          <w:b/>
          <w:bCs/>
          <w:color w:val="000000"/>
          <w:sz w:val="28"/>
          <w:szCs w:val="28"/>
          <w:lang w:bidi="uk-UA"/>
        </w:rPr>
        <w:t>2. Обґрунтування необхідності прийняття постанови</w:t>
      </w:r>
    </w:p>
    <w:p w:rsidR="008F20F2" w:rsidRPr="00493708" w:rsidRDefault="008F20F2" w:rsidP="0073505C">
      <w:pPr>
        <w:ind w:firstLine="708"/>
        <w:jc w:val="both"/>
        <w:rPr>
          <w:snapToGrid w:val="0"/>
          <w:sz w:val="28"/>
          <w:szCs w:val="28"/>
        </w:rPr>
      </w:pPr>
      <w:r w:rsidRPr="00493708">
        <w:rPr>
          <w:snapToGrid w:val="0"/>
          <w:sz w:val="28"/>
          <w:szCs w:val="28"/>
        </w:rPr>
        <w:t xml:space="preserve">Проект постанови </w:t>
      </w:r>
      <w:r w:rsidR="0073505C" w:rsidRPr="00493708">
        <w:rPr>
          <w:snapToGrid w:val="0"/>
          <w:sz w:val="28"/>
          <w:szCs w:val="28"/>
        </w:rPr>
        <w:t xml:space="preserve">спрямований на </w:t>
      </w:r>
      <w:r w:rsidRPr="00493708">
        <w:rPr>
          <w:snapToGrid w:val="0"/>
          <w:sz w:val="28"/>
          <w:szCs w:val="28"/>
        </w:rPr>
        <w:t>поліпш</w:t>
      </w:r>
      <w:r w:rsidR="0073505C" w:rsidRPr="00493708">
        <w:rPr>
          <w:snapToGrid w:val="0"/>
          <w:sz w:val="28"/>
          <w:szCs w:val="28"/>
        </w:rPr>
        <w:t>ення</w:t>
      </w:r>
      <w:r w:rsidRPr="00493708">
        <w:rPr>
          <w:snapToGrid w:val="0"/>
          <w:sz w:val="28"/>
          <w:szCs w:val="28"/>
        </w:rPr>
        <w:t xml:space="preserve"> умов ведення бізнесу, зменш</w:t>
      </w:r>
      <w:r w:rsidR="006942DB" w:rsidRPr="00493708">
        <w:rPr>
          <w:snapToGrid w:val="0"/>
          <w:sz w:val="28"/>
          <w:szCs w:val="28"/>
        </w:rPr>
        <w:t>ення</w:t>
      </w:r>
      <w:r w:rsidRPr="00493708">
        <w:rPr>
          <w:snapToGrid w:val="0"/>
          <w:sz w:val="28"/>
          <w:szCs w:val="28"/>
        </w:rPr>
        <w:t xml:space="preserve"> регуляторн</w:t>
      </w:r>
      <w:r w:rsidR="006942DB" w:rsidRPr="00493708">
        <w:rPr>
          <w:snapToGrid w:val="0"/>
          <w:sz w:val="28"/>
          <w:szCs w:val="28"/>
        </w:rPr>
        <w:t>ого</w:t>
      </w:r>
      <w:r w:rsidRPr="00493708">
        <w:rPr>
          <w:snapToGrid w:val="0"/>
          <w:sz w:val="28"/>
          <w:szCs w:val="28"/>
        </w:rPr>
        <w:t xml:space="preserve"> тиск</w:t>
      </w:r>
      <w:r w:rsidR="006942DB" w:rsidRPr="00493708">
        <w:rPr>
          <w:snapToGrid w:val="0"/>
          <w:sz w:val="28"/>
          <w:szCs w:val="28"/>
        </w:rPr>
        <w:t>у</w:t>
      </w:r>
      <w:r w:rsidRPr="00493708">
        <w:rPr>
          <w:snapToGrid w:val="0"/>
          <w:sz w:val="28"/>
          <w:szCs w:val="28"/>
        </w:rPr>
        <w:t xml:space="preserve"> на суб’єктів господарювання стосовно необхідності отримувати ними </w:t>
      </w:r>
      <w:r w:rsidR="00135214" w:rsidRPr="00493708">
        <w:rPr>
          <w:snapToGrid w:val="0"/>
          <w:sz w:val="28"/>
          <w:szCs w:val="28"/>
        </w:rPr>
        <w:t>відповідні висновки</w:t>
      </w:r>
      <w:r w:rsidRPr="00493708">
        <w:rPr>
          <w:snapToGrid w:val="0"/>
          <w:sz w:val="28"/>
          <w:szCs w:val="28"/>
        </w:rPr>
        <w:t>.</w:t>
      </w:r>
    </w:p>
    <w:p w:rsidR="008F20F2" w:rsidRPr="00493708" w:rsidRDefault="008F20F2" w:rsidP="007407F1">
      <w:pPr>
        <w:ind w:firstLine="708"/>
        <w:jc w:val="both"/>
        <w:rPr>
          <w:snapToGrid w:val="0"/>
          <w:sz w:val="28"/>
          <w:szCs w:val="28"/>
        </w:rPr>
      </w:pPr>
      <w:r w:rsidRPr="00493708">
        <w:rPr>
          <w:snapToGrid w:val="0"/>
          <w:sz w:val="28"/>
          <w:szCs w:val="28"/>
        </w:rPr>
        <w:t>Однією з передумов успішного державного регулювання в країні є скорочення нормативно-правових</w:t>
      </w:r>
      <w:r w:rsidR="00530B4A" w:rsidRPr="00493708">
        <w:rPr>
          <w:snapToGrid w:val="0"/>
          <w:sz w:val="28"/>
          <w:szCs w:val="28"/>
        </w:rPr>
        <w:t xml:space="preserve"> актів, якими встановлена</w:t>
      </w:r>
      <w:r w:rsidRPr="00493708">
        <w:rPr>
          <w:snapToGrid w:val="0"/>
          <w:sz w:val="28"/>
          <w:szCs w:val="28"/>
        </w:rPr>
        <w:t xml:space="preserve"> необхідність отримання суб’єктами господарювання відповідних висновків.</w:t>
      </w:r>
    </w:p>
    <w:p w:rsidR="008F20F2" w:rsidRPr="003611BA" w:rsidRDefault="008F20F2" w:rsidP="007407F1">
      <w:pPr>
        <w:ind w:firstLine="708"/>
        <w:jc w:val="both"/>
        <w:rPr>
          <w:snapToGrid w:val="0"/>
          <w:sz w:val="28"/>
          <w:szCs w:val="28"/>
        </w:rPr>
      </w:pPr>
      <w:r w:rsidRPr="00493708">
        <w:rPr>
          <w:snapToGrid w:val="0"/>
          <w:sz w:val="28"/>
          <w:szCs w:val="28"/>
        </w:rPr>
        <w:t>Проект постанови передбачає визнання такими, що втратили чинність</w:t>
      </w:r>
      <w:r w:rsidR="0033335F" w:rsidRPr="00493708">
        <w:rPr>
          <w:snapToGrid w:val="0"/>
          <w:sz w:val="28"/>
          <w:szCs w:val="28"/>
        </w:rPr>
        <w:t>,</w:t>
      </w:r>
      <w:r w:rsidRPr="00493708">
        <w:rPr>
          <w:snapToGrid w:val="0"/>
          <w:sz w:val="28"/>
          <w:szCs w:val="28"/>
        </w:rPr>
        <w:t xml:space="preserve"> постанов Кабінету Міністрів України</w:t>
      </w:r>
      <w:r w:rsidRPr="003611BA">
        <w:rPr>
          <w:snapToGrid w:val="0"/>
          <w:sz w:val="28"/>
          <w:szCs w:val="28"/>
        </w:rPr>
        <w:t xml:space="preserve"> з питань отримання суб’єктами господарювання відповідних висновків, що станом на цей час не передбачен</w:t>
      </w:r>
      <w:r w:rsidR="0033335F">
        <w:rPr>
          <w:snapToGrid w:val="0"/>
          <w:sz w:val="28"/>
          <w:szCs w:val="28"/>
        </w:rPr>
        <w:t>і</w:t>
      </w:r>
      <w:r w:rsidRPr="003611BA">
        <w:rPr>
          <w:snapToGrid w:val="0"/>
          <w:sz w:val="28"/>
          <w:szCs w:val="28"/>
        </w:rPr>
        <w:t xml:space="preserve"> актами вищої юридичної сили та втратили свою актуальність</w:t>
      </w:r>
      <w:r w:rsidR="00560D4F">
        <w:rPr>
          <w:snapToGrid w:val="0"/>
          <w:sz w:val="28"/>
          <w:szCs w:val="28"/>
        </w:rPr>
        <w:t>.</w:t>
      </w:r>
    </w:p>
    <w:p w:rsidR="002913A4" w:rsidRPr="003611BA" w:rsidRDefault="00560D4F" w:rsidP="007407F1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Так, п</w:t>
      </w:r>
      <w:r w:rsidR="001F525F" w:rsidRPr="003611BA">
        <w:rPr>
          <w:snapToGrid w:val="0"/>
          <w:sz w:val="28"/>
          <w:szCs w:val="28"/>
        </w:rPr>
        <w:t>оложе</w:t>
      </w:r>
      <w:r w:rsidR="002913A4" w:rsidRPr="003611BA">
        <w:rPr>
          <w:snapToGrid w:val="0"/>
          <w:sz w:val="28"/>
          <w:szCs w:val="28"/>
        </w:rPr>
        <w:t>ннями постанови Кабінету Міністрів України від 17 березня 1998 року № 298</w:t>
      </w:r>
      <w:bookmarkStart w:id="0" w:name="o3"/>
      <w:bookmarkEnd w:id="0"/>
      <w:r w:rsidR="002913A4" w:rsidRPr="003611BA">
        <w:rPr>
          <w:snapToGrid w:val="0"/>
          <w:sz w:val="28"/>
          <w:szCs w:val="28"/>
        </w:rPr>
        <w:t xml:space="preserve"> затверджені розміри зборів за послуги, що надаються інспекціями державного технічного нагляду обласних, Київської та Севастопольської міських державних адміністрацій. </w:t>
      </w:r>
      <w:r w:rsidR="001F525F" w:rsidRPr="003611BA">
        <w:rPr>
          <w:snapToGrid w:val="0"/>
          <w:sz w:val="28"/>
          <w:szCs w:val="28"/>
        </w:rPr>
        <w:t>З</w:t>
      </w:r>
      <w:r w:rsidR="002913A4" w:rsidRPr="003611BA">
        <w:rPr>
          <w:snapToGrid w:val="0"/>
          <w:sz w:val="28"/>
          <w:szCs w:val="28"/>
        </w:rPr>
        <w:t>азначен</w:t>
      </w:r>
      <w:r w:rsidR="001F525F" w:rsidRPr="003611BA">
        <w:rPr>
          <w:snapToGrid w:val="0"/>
          <w:sz w:val="28"/>
          <w:szCs w:val="28"/>
        </w:rPr>
        <w:t>а</w:t>
      </w:r>
      <w:r w:rsidR="002913A4" w:rsidRPr="003611BA">
        <w:rPr>
          <w:snapToGrid w:val="0"/>
          <w:sz w:val="28"/>
          <w:szCs w:val="28"/>
        </w:rPr>
        <w:t xml:space="preserve"> постанов</w:t>
      </w:r>
      <w:r w:rsidR="001F525F" w:rsidRPr="003611BA">
        <w:rPr>
          <w:snapToGrid w:val="0"/>
          <w:sz w:val="28"/>
          <w:szCs w:val="28"/>
        </w:rPr>
        <w:t>а</w:t>
      </w:r>
      <w:r w:rsidR="002913A4" w:rsidRPr="003611BA">
        <w:rPr>
          <w:snapToGrid w:val="0"/>
          <w:sz w:val="28"/>
          <w:szCs w:val="28"/>
        </w:rPr>
        <w:t xml:space="preserve"> Кабінету Міністрів України містить положення стосовно розміру зборів за отримання </w:t>
      </w:r>
      <w:r w:rsidR="004E4860">
        <w:rPr>
          <w:snapToGrid w:val="0"/>
          <w:sz w:val="28"/>
          <w:szCs w:val="28"/>
        </w:rPr>
        <w:t xml:space="preserve">суб’єктами господарювання </w:t>
      </w:r>
      <w:r w:rsidR="002913A4" w:rsidRPr="003611BA">
        <w:rPr>
          <w:snapToGrid w:val="0"/>
          <w:sz w:val="28"/>
          <w:szCs w:val="28"/>
        </w:rPr>
        <w:t>висновків, які на сьогоднішній день не видаються зазначеними органами, а саме:</w:t>
      </w:r>
    </w:p>
    <w:p w:rsidR="00F64E2F" w:rsidRPr="003611BA" w:rsidRDefault="002913A4" w:rsidP="007407F1">
      <w:pPr>
        <w:ind w:firstLine="708"/>
        <w:jc w:val="both"/>
        <w:rPr>
          <w:snapToGrid w:val="0"/>
          <w:sz w:val="28"/>
          <w:szCs w:val="28"/>
        </w:rPr>
      </w:pPr>
      <w:r w:rsidRPr="003611BA">
        <w:rPr>
          <w:snapToGrid w:val="0"/>
          <w:sz w:val="28"/>
          <w:szCs w:val="28"/>
        </w:rPr>
        <w:t>- висновок про якість проданих і відремонтованих машин, вузлів, агрегатів та складових частин у зв'язку розглядом відповідної претензії власника (користувача);</w:t>
      </w:r>
    </w:p>
    <w:p w:rsidR="002913A4" w:rsidRPr="003611BA" w:rsidRDefault="002913A4" w:rsidP="007407F1">
      <w:pPr>
        <w:ind w:firstLine="708"/>
        <w:jc w:val="both"/>
        <w:rPr>
          <w:snapToGrid w:val="0"/>
          <w:sz w:val="28"/>
          <w:szCs w:val="28"/>
        </w:rPr>
      </w:pPr>
      <w:r w:rsidRPr="003611BA">
        <w:rPr>
          <w:snapToGrid w:val="0"/>
          <w:sz w:val="28"/>
          <w:szCs w:val="28"/>
        </w:rPr>
        <w:lastRenderedPageBreak/>
        <w:t>- висновок про якість пально-мастильних матеріалів, якими забезпечується агропромисловий комплекс;</w:t>
      </w:r>
    </w:p>
    <w:p w:rsidR="008F20F2" w:rsidRPr="003611BA" w:rsidRDefault="002913A4" w:rsidP="007407F1">
      <w:pPr>
        <w:ind w:firstLine="708"/>
        <w:jc w:val="both"/>
        <w:rPr>
          <w:snapToGrid w:val="0"/>
          <w:sz w:val="28"/>
          <w:szCs w:val="28"/>
        </w:rPr>
      </w:pPr>
      <w:r w:rsidRPr="003611BA">
        <w:rPr>
          <w:snapToGrid w:val="0"/>
          <w:sz w:val="28"/>
          <w:szCs w:val="28"/>
        </w:rPr>
        <w:t>- висновок про залишковий моторесурс під час визначення реалізаційної вартості машини, вузла, агрегату;</w:t>
      </w:r>
    </w:p>
    <w:p w:rsidR="002913A4" w:rsidRPr="003611BA" w:rsidRDefault="002913A4" w:rsidP="007407F1">
      <w:pPr>
        <w:ind w:firstLine="708"/>
        <w:jc w:val="both"/>
        <w:rPr>
          <w:snapToGrid w:val="0"/>
          <w:sz w:val="28"/>
          <w:szCs w:val="28"/>
        </w:rPr>
      </w:pPr>
      <w:r w:rsidRPr="003611BA">
        <w:rPr>
          <w:snapToGrid w:val="0"/>
          <w:sz w:val="28"/>
          <w:szCs w:val="28"/>
        </w:rPr>
        <w:t xml:space="preserve">- висновок про наявність шкідливих викидів у двигуні внутрішнього згорання </w:t>
      </w:r>
      <w:r w:rsidR="006D0391">
        <w:rPr>
          <w:snapToGrid w:val="0"/>
          <w:sz w:val="28"/>
          <w:szCs w:val="28"/>
        </w:rPr>
        <w:t xml:space="preserve">- </w:t>
      </w:r>
      <w:r w:rsidRPr="003611BA">
        <w:rPr>
          <w:snapToGrid w:val="0"/>
          <w:sz w:val="28"/>
          <w:szCs w:val="28"/>
        </w:rPr>
        <w:t>у дизельному;</w:t>
      </w:r>
    </w:p>
    <w:p w:rsidR="002913A4" w:rsidRPr="003611BA" w:rsidRDefault="002913A4" w:rsidP="007407F1">
      <w:pPr>
        <w:ind w:firstLine="708"/>
        <w:jc w:val="both"/>
        <w:rPr>
          <w:snapToGrid w:val="0"/>
          <w:sz w:val="28"/>
          <w:szCs w:val="28"/>
        </w:rPr>
      </w:pPr>
      <w:r w:rsidRPr="003611BA">
        <w:rPr>
          <w:snapToGrid w:val="0"/>
          <w:sz w:val="28"/>
          <w:szCs w:val="28"/>
        </w:rPr>
        <w:t xml:space="preserve">- висновок про наявність шкідливих викидів у двигуні внутрішнього згорання </w:t>
      </w:r>
      <w:r w:rsidR="006D0391">
        <w:rPr>
          <w:snapToGrid w:val="0"/>
          <w:sz w:val="28"/>
          <w:szCs w:val="28"/>
        </w:rPr>
        <w:t xml:space="preserve">- </w:t>
      </w:r>
      <w:r w:rsidRPr="003611BA">
        <w:rPr>
          <w:snapToGrid w:val="0"/>
          <w:sz w:val="28"/>
          <w:szCs w:val="28"/>
        </w:rPr>
        <w:t>у бензиновому;</w:t>
      </w:r>
    </w:p>
    <w:p w:rsidR="002913A4" w:rsidRPr="003611BA" w:rsidRDefault="002913A4" w:rsidP="007407F1">
      <w:pPr>
        <w:ind w:firstLine="708"/>
        <w:jc w:val="both"/>
        <w:rPr>
          <w:snapToGrid w:val="0"/>
          <w:sz w:val="28"/>
          <w:szCs w:val="28"/>
        </w:rPr>
      </w:pPr>
      <w:r w:rsidRPr="003611BA">
        <w:rPr>
          <w:snapToGrid w:val="0"/>
          <w:sz w:val="28"/>
          <w:szCs w:val="28"/>
        </w:rPr>
        <w:t>- висновок про відповідність матеріально-технічної бази навчального закладу вимогам навчальних програм з питань підготовки трактористів-машиністів.</w:t>
      </w:r>
    </w:p>
    <w:p w:rsidR="002913A4" w:rsidRPr="00932352" w:rsidRDefault="001F525F" w:rsidP="007407F1">
      <w:pPr>
        <w:ind w:firstLine="708"/>
        <w:jc w:val="both"/>
        <w:rPr>
          <w:snapToGrid w:val="0"/>
          <w:sz w:val="28"/>
          <w:szCs w:val="28"/>
        </w:rPr>
      </w:pPr>
      <w:r w:rsidRPr="003611BA">
        <w:rPr>
          <w:snapToGrid w:val="0"/>
          <w:sz w:val="28"/>
          <w:szCs w:val="28"/>
        </w:rPr>
        <w:t xml:space="preserve">Крім того, відсутній </w:t>
      </w:r>
      <w:r w:rsidR="00EE325F" w:rsidRPr="003611BA">
        <w:rPr>
          <w:snapToGrid w:val="0"/>
          <w:sz w:val="28"/>
          <w:szCs w:val="28"/>
        </w:rPr>
        <w:t>нормативно</w:t>
      </w:r>
      <w:r w:rsidR="00EE325F" w:rsidRPr="00932352">
        <w:rPr>
          <w:snapToGrid w:val="0"/>
          <w:sz w:val="28"/>
          <w:szCs w:val="28"/>
        </w:rPr>
        <w:t>-правовий акт, яким було б встановлено</w:t>
      </w:r>
      <w:r w:rsidRPr="00932352">
        <w:rPr>
          <w:snapToGrid w:val="0"/>
          <w:sz w:val="28"/>
          <w:szCs w:val="28"/>
        </w:rPr>
        <w:t xml:space="preserve"> порядок видачі зазначених висновків, строки, платність та підстави для відмови у їх видачі.</w:t>
      </w:r>
    </w:p>
    <w:p w:rsidR="006251ED" w:rsidRPr="00932352" w:rsidRDefault="006251ED" w:rsidP="006251ED">
      <w:pPr>
        <w:ind w:firstLine="708"/>
        <w:jc w:val="both"/>
        <w:rPr>
          <w:sz w:val="28"/>
          <w:szCs w:val="28"/>
        </w:rPr>
      </w:pPr>
      <w:r w:rsidRPr="00932352">
        <w:rPr>
          <w:sz w:val="28"/>
          <w:szCs w:val="28"/>
        </w:rPr>
        <w:t xml:space="preserve">Проектом постанови </w:t>
      </w:r>
      <w:r w:rsidR="005259FA" w:rsidRPr="00932352">
        <w:rPr>
          <w:sz w:val="28"/>
          <w:szCs w:val="28"/>
        </w:rPr>
        <w:t xml:space="preserve">також </w:t>
      </w:r>
      <w:r w:rsidRPr="00932352">
        <w:rPr>
          <w:sz w:val="28"/>
          <w:szCs w:val="28"/>
        </w:rPr>
        <w:t>передбачається визнати такими, що втратили чинність</w:t>
      </w:r>
      <w:r w:rsidR="00E744E0" w:rsidRPr="00932352">
        <w:rPr>
          <w:sz w:val="28"/>
          <w:szCs w:val="28"/>
        </w:rPr>
        <w:t>,</w:t>
      </w:r>
      <w:r w:rsidRPr="00932352">
        <w:rPr>
          <w:sz w:val="28"/>
          <w:szCs w:val="28"/>
        </w:rPr>
        <w:t xml:space="preserve"> нормативно-правові акти, що втратили свою актуальність з огляду на припинення правовідносин, на врегулювання яких їх було прийнято, а також закінчився термін, протягом якого діяв відповідний акт.</w:t>
      </w:r>
    </w:p>
    <w:p w:rsidR="006251ED" w:rsidRPr="00932352" w:rsidRDefault="006251ED" w:rsidP="006251ED">
      <w:pPr>
        <w:ind w:firstLine="708"/>
        <w:jc w:val="both"/>
        <w:rPr>
          <w:sz w:val="28"/>
          <w:szCs w:val="28"/>
        </w:rPr>
      </w:pPr>
      <w:r w:rsidRPr="00932352">
        <w:rPr>
          <w:sz w:val="28"/>
          <w:szCs w:val="28"/>
        </w:rPr>
        <w:t xml:space="preserve">Так, постановою Кабінету Міністрів України № 1852 було затверджено перелік товарів, експорт та імпорт яких підлягає ліцензуванню, та обсягів квот у 2007 році. На виконання зазначеної постанови Кабінету Міністрів України, Міністерством фінансів було прийнято наказ від 26 березня 2007 року № 400 «Про затвердження Положення про порядок погодження видачі ліцензій на експорт та імпорт товарів, визначених у додатках 2, 3 до постанови Кабінету Міністрів України від 29 грудня 2006 року № 1852». </w:t>
      </w:r>
    </w:p>
    <w:p w:rsidR="006251ED" w:rsidRPr="00932352" w:rsidRDefault="006251ED" w:rsidP="006251ED">
      <w:pPr>
        <w:ind w:firstLine="708"/>
        <w:jc w:val="both"/>
        <w:rPr>
          <w:sz w:val="28"/>
          <w:szCs w:val="28"/>
        </w:rPr>
      </w:pPr>
      <w:r w:rsidRPr="00932352">
        <w:rPr>
          <w:sz w:val="28"/>
          <w:szCs w:val="28"/>
        </w:rPr>
        <w:t xml:space="preserve">Положенням </w:t>
      </w:r>
      <w:r w:rsidR="004044A5" w:rsidRPr="00932352">
        <w:rPr>
          <w:sz w:val="28"/>
          <w:szCs w:val="28"/>
        </w:rPr>
        <w:t>вказаного</w:t>
      </w:r>
      <w:r w:rsidRPr="00932352">
        <w:rPr>
          <w:sz w:val="28"/>
          <w:szCs w:val="28"/>
        </w:rPr>
        <w:t xml:space="preserve"> наказу Міністерства фінансів України встановлено, що для отримання у 20</w:t>
      </w:r>
      <w:r w:rsidR="00E76158" w:rsidRPr="00932352">
        <w:rPr>
          <w:sz w:val="28"/>
          <w:szCs w:val="28"/>
        </w:rPr>
        <w:t>07</w:t>
      </w:r>
      <w:r w:rsidRPr="00932352">
        <w:rPr>
          <w:sz w:val="28"/>
          <w:szCs w:val="28"/>
        </w:rPr>
        <w:t xml:space="preserve"> році погодження суб’єкти підприємницької діяльності повинні були звертатися до міністерства із листом, до якого необхідно було подавати копію експертного висновку про визначення коду товару згідно з Українською класифікацією товарів зовнішньоекономічної діяльності (</w:t>
      </w:r>
      <w:hyperlink r:id="rId8" w:tgtFrame="_blank" w:history="1">
        <w:r w:rsidRPr="00932352">
          <w:rPr>
            <w:sz w:val="28"/>
            <w:szCs w:val="28"/>
          </w:rPr>
          <w:t>2371а-14</w:t>
        </w:r>
      </w:hyperlink>
      <w:r w:rsidRPr="00932352">
        <w:rPr>
          <w:sz w:val="28"/>
          <w:szCs w:val="28"/>
        </w:rPr>
        <w:t xml:space="preserve">, </w:t>
      </w:r>
      <w:hyperlink r:id="rId9" w:tgtFrame="_blank" w:history="1">
        <w:r w:rsidRPr="00932352">
          <w:rPr>
            <w:sz w:val="28"/>
            <w:szCs w:val="28"/>
          </w:rPr>
          <w:t>2371б-14</w:t>
        </w:r>
      </w:hyperlink>
      <w:r w:rsidRPr="00932352">
        <w:rPr>
          <w:sz w:val="28"/>
          <w:szCs w:val="28"/>
        </w:rPr>
        <w:t xml:space="preserve">, </w:t>
      </w:r>
      <w:hyperlink r:id="rId10" w:tgtFrame="_blank" w:history="1">
        <w:r w:rsidRPr="00932352">
          <w:rPr>
            <w:sz w:val="28"/>
            <w:szCs w:val="28"/>
          </w:rPr>
          <w:t>2371в-14</w:t>
        </w:r>
      </w:hyperlink>
      <w:r w:rsidRPr="00932352">
        <w:rPr>
          <w:sz w:val="28"/>
          <w:szCs w:val="28"/>
        </w:rPr>
        <w:t xml:space="preserve">, </w:t>
      </w:r>
      <w:hyperlink r:id="rId11" w:tgtFrame="_blank" w:history="1">
        <w:r w:rsidRPr="00932352">
          <w:rPr>
            <w:sz w:val="28"/>
            <w:szCs w:val="28"/>
          </w:rPr>
          <w:t>2371г-14</w:t>
        </w:r>
      </w:hyperlink>
      <w:r w:rsidRPr="00932352">
        <w:rPr>
          <w:sz w:val="28"/>
          <w:szCs w:val="28"/>
        </w:rPr>
        <w:t>) (УКТЗЕД), засвідчену керівником суб’єкта підприємницької діяльності.</w:t>
      </w:r>
    </w:p>
    <w:p w:rsidR="006251ED" w:rsidRPr="00932352" w:rsidRDefault="006251ED" w:rsidP="006251ED">
      <w:pPr>
        <w:ind w:firstLine="708"/>
        <w:jc w:val="both"/>
        <w:rPr>
          <w:snapToGrid w:val="0"/>
          <w:sz w:val="28"/>
          <w:szCs w:val="28"/>
        </w:rPr>
      </w:pPr>
      <w:r w:rsidRPr="00932352">
        <w:rPr>
          <w:sz w:val="28"/>
          <w:szCs w:val="28"/>
        </w:rPr>
        <w:t>На сьогоднішній день, постанова Кабінету Міністрів України № 1852 та наказ Міністерства фінансів України № 400 є неактуальними</w:t>
      </w:r>
      <w:r w:rsidR="00B86910" w:rsidRPr="00932352">
        <w:rPr>
          <w:sz w:val="28"/>
          <w:szCs w:val="28"/>
        </w:rPr>
        <w:t>,</w:t>
      </w:r>
      <w:r w:rsidRPr="00932352">
        <w:rPr>
          <w:sz w:val="28"/>
          <w:szCs w:val="28"/>
        </w:rPr>
        <w:t xml:space="preserve"> у зв’язку із закінченням строку, на який їх було прийнято.</w:t>
      </w:r>
    </w:p>
    <w:p w:rsidR="00110D8A" w:rsidRPr="00932352" w:rsidRDefault="00110D8A" w:rsidP="007407F1">
      <w:pPr>
        <w:ind w:firstLine="708"/>
        <w:jc w:val="both"/>
        <w:rPr>
          <w:snapToGrid w:val="0"/>
          <w:sz w:val="28"/>
          <w:szCs w:val="28"/>
        </w:rPr>
      </w:pPr>
    </w:p>
    <w:p w:rsidR="00213A56" w:rsidRPr="00932352" w:rsidRDefault="00213A56" w:rsidP="007407F1">
      <w:pPr>
        <w:ind w:firstLine="708"/>
        <w:jc w:val="both"/>
        <w:rPr>
          <w:snapToGrid w:val="0"/>
          <w:sz w:val="28"/>
          <w:szCs w:val="28"/>
        </w:rPr>
      </w:pPr>
      <w:r w:rsidRPr="00932352">
        <w:rPr>
          <w:b/>
          <w:bCs/>
          <w:sz w:val="28"/>
          <w:szCs w:val="28"/>
          <w:lang w:bidi="uk-UA"/>
        </w:rPr>
        <w:t>3. Суть проекту акта</w:t>
      </w:r>
    </w:p>
    <w:p w:rsidR="00E27647" w:rsidRPr="00493708" w:rsidRDefault="00E27647" w:rsidP="00226D54">
      <w:pPr>
        <w:ind w:firstLine="708"/>
        <w:jc w:val="both"/>
        <w:rPr>
          <w:snapToGrid w:val="0"/>
          <w:sz w:val="28"/>
          <w:szCs w:val="28"/>
        </w:rPr>
      </w:pPr>
      <w:r w:rsidRPr="00932352">
        <w:rPr>
          <w:snapToGrid w:val="0"/>
          <w:sz w:val="28"/>
          <w:szCs w:val="28"/>
        </w:rPr>
        <w:t>Проектом постанови пропонується визнати такими, що втратили чинність</w:t>
      </w:r>
      <w:r w:rsidR="007407F1" w:rsidRPr="00932352">
        <w:rPr>
          <w:snapToGrid w:val="0"/>
          <w:sz w:val="28"/>
          <w:szCs w:val="28"/>
        </w:rPr>
        <w:t>,</w:t>
      </w:r>
      <w:r w:rsidRPr="00932352">
        <w:rPr>
          <w:snapToGrid w:val="0"/>
          <w:sz w:val="28"/>
          <w:szCs w:val="28"/>
        </w:rPr>
        <w:t xml:space="preserve"> </w:t>
      </w:r>
      <w:r w:rsidR="007407F1" w:rsidRPr="00932352">
        <w:rPr>
          <w:snapToGrid w:val="0"/>
          <w:sz w:val="28"/>
          <w:szCs w:val="28"/>
        </w:rPr>
        <w:t xml:space="preserve">ті </w:t>
      </w:r>
      <w:r w:rsidRPr="00932352">
        <w:rPr>
          <w:snapToGrid w:val="0"/>
          <w:sz w:val="28"/>
          <w:szCs w:val="28"/>
        </w:rPr>
        <w:t>постанов</w:t>
      </w:r>
      <w:r w:rsidR="007407F1" w:rsidRPr="00932352">
        <w:rPr>
          <w:snapToGrid w:val="0"/>
          <w:sz w:val="28"/>
          <w:szCs w:val="28"/>
        </w:rPr>
        <w:t>и</w:t>
      </w:r>
      <w:r w:rsidRPr="00932352">
        <w:rPr>
          <w:snapToGrid w:val="0"/>
          <w:sz w:val="28"/>
          <w:szCs w:val="28"/>
        </w:rPr>
        <w:t xml:space="preserve"> Кабінету Міністрів України, які втратил</w:t>
      </w:r>
      <w:r w:rsidRPr="003611BA">
        <w:rPr>
          <w:snapToGrid w:val="0"/>
          <w:sz w:val="28"/>
          <w:szCs w:val="28"/>
        </w:rPr>
        <w:t xml:space="preserve">и актуальність та не відповідають актам вищої юридичної сили стосовно необхідності отримання суб’єктами </w:t>
      </w:r>
      <w:r w:rsidRPr="00493708">
        <w:rPr>
          <w:snapToGrid w:val="0"/>
          <w:sz w:val="28"/>
          <w:szCs w:val="28"/>
        </w:rPr>
        <w:t>господарювання відповідних висновків, що зменшить регуляторне навантаження на бізнес.</w:t>
      </w:r>
    </w:p>
    <w:p w:rsidR="00E27647" w:rsidRPr="00493708" w:rsidRDefault="00E27647" w:rsidP="00226D54">
      <w:pPr>
        <w:ind w:firstLine="708"/>
        <w:jc w:val="both"/>
        <w:rPr>
          <w:snapToGrid w:val="0"/>
          <w:sz w:val="28"/>
          <w:szCs w:val="28"/>
        </w:rPr>
      </w:pPr>
    </w:p>
    <w:p w:rsidR="008E49A7" w:rsidRPr="003611BA" w:rsidRDefault="008E49A7" w:rsidP="00226D54">
      <w:pPr>
        <w:keepNext/>
        <w:keepLines/>
        <w:widowControl w:val="0"/>
        <w:tabs>
          <w:tab w:val="left" w:pos="967"/>
        </w:tabs>
        <w:ind w:firstLine="708"/>
        <w:jc w:val="both"/>
        <w:outlineLvl w:val="2"/>
        <w:rPr>
          <w:b/>
          <w:bCs/>
          <w:color w:val="000000"/>
          <w:sz w:val="28"/>
          <w:szCs w:val="28"/>
          <w:lang w:bidi="uk-UA"/>
        </w:rPr>
      </w:pPr>
      <w:r w:rsidRPr="00493708">
        <w:rPr>
          <w:b/>
          <w:bCs/>
          <w:color w:val="000000"/>
          <w:sz w:val="28"/>
          <w:szCs w:val="28"/>
          <w:lang w:bidi="uk-UA"/>
        </w:rPr>
        <w:t>4. Правові аспекти</w:t>
      </w:r>
    </w:p>
    <w:p w:rsidR="00E27647" w:rsidRPr="003611BA" w:rsidRDefault="00E27647" w:rsidP="00226D54">
      <w:pPr>
        <w:ind w:firstLine="708"/>
        <w:jc w:val="both"/>
        <w:rPr>
          <w:snapToGrid w:val="0"/>
          <w:sz w:val="28"/>
          <w:szCs w:val="28"/>
        </w:rPr>
      </w:pPr>
      <w:r w:rsidRPr="003611BA">
        <w:rPr>
          <w:snapToGrid w:val="0"/>
          <w:sz w:val="28"/>
          <w:szCs w:val="28"/>
        </w:rPr>
        <w:t>У даній сфері правового регулювання діють такі нормативно-правові акти:</w:t>
      </w:r>
    </w:p>
    <w:p w:rsidR="00E27647" w:rsidRPr="003611BA" w:rsidRDefault="00C43CE2" w:rsidP="00226D54">
      <w:pPr>
        <w:ind w:firstLine="708"/>
        <w:jc w:val="both"/>
        <w:rPr>
          <w:snapToGrid w:val="0"/>
          <w:sz w:val="28"/>
          <w:szCs w:val="28"/>
        </w:rPr>
      </w:pPr>
      <w:r w:rsidRPr="003611BA">
        <w:rPr>
          <w:snapToGrid w:val="0"/>
          <w:sz w:val="28"/>
          <w:szCs w:val="28"/>
        </w:rPr>
        <w:lastRenderedPageBreak/>
        <w:t>Митний кодекс України;</w:t>
      </w:r>
    </w:p>
    <w:p w:rsidR="00C43CE2" w:rsidRPr="003611BA" w:rsidRDefault="00C43CE2" w:rsidP="00226D54">
      <w:pPr>
        <w:ind w:firstLine="708"/>
        <w:jc w:val="both"/>
        <w:rPr>
          <w:snapToGrid w:val="0"/>
          <w:sz w:val="28"/>
          <w:szCs w:val="28"/>
        </w:rPr>
      </w:pPr>
      <w:r w:rsidRPr="003611BA">
        <w:rPr>
          <w:snapToGrid w:val="0"/>
          <w:sz w:val="28"/>
          <w:szCs w:val="28"/>
        </w:rPr>
        <w:t>Податковий кодекс України</w:t>
      </w:r>
      <w:r w:rsidR="00F64E2F" w:rsidRPr="003611BA">
        <w:rPr>
          <w:snapToGrid w:val="0"/>
          <w:sz w:val="28"/>
          <w:szCs w:val="28"/>
        </w:rPr>
        <w:t>;</w:t>
      </w:r>
    </w:p>
    <w:p w:rsidR="00B03BF6" w:rsidRPr="003611BA" w:rsidRDefault="00B03BF6" w:rsidP="00730A62">
      <w:pPr>
        <w:ind w:firstLine="708"/>
        <w:jc w:val="both"/>
        <w:rPr>
          <w:snapToGrid w:val="0"/>
          <w:sz w:val="28"/>
          <w:szCs w:val="28"/>
        </w:rPr>
      </w:pPr>
      <w:r w:rsidRPr="003611BA">
        <w:rPr>
          <w:snapToGrid w:val="0"/>
          <w:sz w:val="28"/>
          <w:szCs w:val="28"/>
        </w:rPr>
        <w:t>Програма діяльності Кабінету Міністрів України, схвален</w:t>
      </w:r>
      <w:r w:rsidR="00E34430">
        <w:rPr>
          <w:snapToGrid w:val="0"/>
          <w:sz w:val="28"/>
          <w:szCs w:val="28"/>
        </w:rPr>
        <w:t>а</w:t>
      </w:r>
      <w:r w:rsidRPr="003611BA">
        <w:rPr>
          <w:snapToGrid w:val="0"/>
          <w:sz w:val="28"/>
          <w:szCs w:val="28"/>
        </w:rPr>
        <w:t xml:space="preserve"> постановою Верховної Ради України від 14 квітня 2016 року № 1099-VІІІ;</w:t>
      </w:r>
    </w:p>
    <w:p w:rsidR="00E27647" w:rsidRPr="003611BA" w:rsidRDefault="00B03BF6" w:rsidP="00730A62">
      <w:pPr>
        <w:ind w:firstLine="708"/>
        <w:jc w:val="both"/>
        <w:rPr>
          <w:snapToGrid w:val="0"/>
          <w:sz w:val="28"/>
          <w:szCs w:val="28"/>
        </w:rPr>
      </w:pPr>
      <w:r w:rsidRPr="003611BA">
        <w:rPr>
          <w:snapToGrid w:val="0"/>
          <w:sz w:val="28"/>
          <w:szCs w:val="28"/>
        </w:rPr>
        <w:t>розпорядження Кабінету Міністрів України від 18 грудня</w:t>
      </w:r>
      <w:r w:rsidR="00975BA6">
        <w:rPr>
          <w:snapToGrid w:val="0"/>
          <w:sz w:val="28"/>
          <w:szCs w:val="28"/>
        </w:rPr>
        <w:t xml:space="preserve"> 2018 року</w:t>
      </w:r>
      <w:r w:rsidR="00975BA6">
        <w:rPr>
          <w:snapToGrid w:val="0"/>
          <w:sz w:val="28"/>
          <w:szCs w:val="28"/>
        </w:rPr>
        <w:br/>
      </w:r>
      <w:r w:rsidRPr="003611BA">
        <w:rPr>
          <w:snapToGrid w:val="0"/>
          <w:sz w:val="28"/>
          <w:szCs w:val="28"/>
        </w:rPr>
        <w:t>№ 1106</w:t>
      </w:r>
      <w:r w:rsidR="00514CDE" w:rsidRPr="003611BA">
        <w:rPr>
          <w:snapToGrid w:val="0"/>
          <w:sz w:val="28"/>
          <w:szCs w:val="28"/>
        </w:rPr>
        <w:t xml:space="preserve"> «Про затвердження плану пріоритетних дій Уряду на 2019 рік».</w:t>
      </w:r>
    </w:p>
    <w:p w:rsidR="00E27647" w:rsidRPr="003611BA" w:rsidRDefault="00E27647" w:rsidP="00730A62">
      <w:pPr>
        <w:ind w:firstLine="708"/>
        <w:jc w:val="both"/>
        <w:rPr>
          <w:snapToGrid w:val="0"/>
          <w:sz w:val="28"/>
          <w:szCs w:val="28"/>
        </w:rPr>
      </w:pPr>
    </w:p>
    <w:p w:rsidR="00E0048F" w:rsidRPr="003611BA" w:rsidRDefault="00E0048F" w:rsidP="00730A62">
      <w:pPr>
        <w:autoSpaceDE w:val="0"/>
        <w:autoSpaceDN w:val="0"/>
        <w:ind w:firstLine="708"/>
        <w:jc w:val="both"/>
        <w:rPr>
          <w:b/>
          <w:bCs/>
          <w:sz w:val="28"/>
          <w:szCs w:val="28"/>
          <w:lang w:eastAsia="ru-RU"/>
        </w:rPr>
      </w:pPr>
      <w:r w:rsidRPr="003611BA">
        <w:rPr>
          <w:b/>
          <w:bCs/>
          <w:sz w:val="28"/>
          <w:szCs w:val="28"/>
          <w:lang w:eastAsia="ru-RU"/>
        </w:rPr>
        <w:t>4</w:t>
      </w:r>
      <w:r w:rsidRPr="003611BA">
        <w:rPr>
          <w:b/>
          <w:bCs/>
          <w:sz w:val="28"/>
          <w:szCs w:val="28"/>
          <w:vertAlign w:val="superscript"/>
          <w:lang w:eastAsia="ru-RU"/>
        </w:rPr>
        <w:t>1</w:t>
      </w:r>
      <w:r w:rsidRPr="003611BA">
        <w:rPr>
          <w:b/>
          <w:bCs/>
          <w:sz w:val="28"/>
          <w:szCs w:val="28"/>
          <w:lang w:eastAsia="ru-RU"/>
        </w:rPr>
        <w:t>. Відповідність засадам реалізації органами виконавчої влади принципів державної політики цифрового розвитку</w:t>
      </w:r>
    </w:p>
    <w:p w:rsidR="00D7116B" w:rsidRPr="003611BA" w:rsidRDefault="00D7116B" w:rsidP="00730A62">
      <w:pPr>
        <w:tabs>
          <w:tab w:val="left" w:pos="1134"/>
          <w:tab w:val="left" w:pos="1418"/>
        </w:tabs>
        <w:ind w:firstLine="708"/>
        <w:jc w:val="both"/>
        <w:rPr>
          <w:sz w:val="28"/>
          <w:szCs w:val="28"/>
        </w:rPr>
      </w:pPr>
      <w:r w:rsidRPr="003611BA">
        <w:rPr>
          <w:sz w:val="28"/>
          <w:szCs w:val="28"/>
        </w:rPr>
        <w:t>Проект постанови не стосується реалізації органами виконавчої влади принципів державної політики цифрового розвитку.</w:t>
      </w:r>
    </w:p>
    <w:p w:rsidR="00D7116B" w:rsidRPr="003611BA" w:rsidRDefault="00D7116B" w:rsidP="00730A62">
      <w:pPr>
        <w:tabs>
          <w:tab w:val="left" w:pos="1134"/>
          <w:tab w:val="left" w:pos="1418"/>
        </w:tabs>
        <w:ind w:firstLine="708"/>
        <w:jc w:val="both"/>
        <w:rPr>
          <w:sz w:val="28"/>
          <w:szCs w:val="28"/>
        </w:rPr>
      </w:pPr>
    </w:p>
    <w:p w:rsidR="008E49A7" w:rsidRPr="003611BA" w:rsidRDefault="008E49A7" w:rsidP="00730A62">
      <w:pPr>
        <w:autoSpaceDE w:val="0"/>
        <w:autoSpaceDN w:val="0"/>
        <w:ind w:firstLine="708"/>
        <w:jc w:val="both"/>
        <w:rPr>
          <w:b/>
          <w:bCs/>
          <w:color w:val="000000"/>
          <w:sz w:val="28"/>
          <w:szCs w:val="28"/>
          <w:lang w:bidi="uk-UA"/>
        </w:rPr>
      </w:pPr>
      <w:r w:rsidRPr="003611BA">
        <w:rPr>
          <w:b/>
          <w:bCs/>
          <w:color w:val="000000"/>
          <w:sz w:val="28"/>
          <w:szCs w:val="28"/>
          <w:lang w:bidi="uk-UA"/>
        </w:rPr>
        <w:t>5.</w:t>
      </w:r>
      <w:r w:rsidR="00D7116B" w:rsidRPr="003611BA">
        <w:rPr>
          <w:b/>
          <w:bCs/>
          <w:color w:val="000000"/>
          <w:sz w:val="28"/>
          <w:szCs w:val="28"/>
          <w:lang w:bidi="uk-UA"/>
        </w:rPr>
        <w:t xml:space="preserve"> </w:t>
      </w:r>
      <w:r w:rsidRPr="003611BA">
        <w:rPr>
          <w:b/>
          <w:bCs/>
          <w:color w:val="000000"/>
          <w:sz w:val="28"/>
          <w:szCs w:val="28"/>
          <w:lang w:bidi="uk-UA"/>
        </w:rPr>
        <w:t>Фінансово-економічне обґрунтування</w:t>
      </w:r>
    </w:p>
    <w:p w:rsidR="008E49A7" w:rsidRPr="003611BA" w:rsidRDefault="008E49A7" w:rsidP="00730A62">
      <w:pPr>
        <w:ind w:firstLine="708"/>
        <w:jc w:val="both"/>
        <w:rPr>
          <w:snapToGrid w:val="0"/>
          <w:sz w:val="28"/>
          <w:szCs w:val="28"/>
        </w:rPr>
      </w:pPr>
      <w:r w:rsidRPr="003611BA">
        <w:rPr>
          <w:bCs/>
          <w:sz w:val="28"/>
          <w:szCs w:val="28"/>
        </w:rPr>
        <w:t xml:space="preserve">Реалізація проекту постанови </w:t>
      </w:r>
      <w:r w:rsidR="001447AA" w:rsidRPr="003611BA">
        <w:rPr>
          <w:snapToGrid w:val="0"/>
          <w:sz w:val="28"/>
          <w:szCs w:val="28"/>
        </w:rPr>
        <w:t>не потребує</w:t>
      </w:r>
      <w:r w:rsidR="001447AA" w:rsidRPr="003611BA">
        <w:rPr>
          <w:bCs/>
          <w:sz w:val="28"/>
          <w:szCs w:val="28"/>
        </w:rPr>
        <w:t xml:space="preserve"> </w:t>
      </w:r>
      <w:r w:rsidRPr="003611BA">
        <w:rPr>
          <w:bCs/>
          <w:sz w:val="28"/>
          <w:szCs w:val="28"/>
        </w:rPr>
        <w:t xml:space="preserve">додаткових </w:t>
      </w:r>
      <w:r w:rsidRPr="003611BA">
        <w:rPr>
          <w:snapToGrid w:val="0"/>
          <w:sz w:val="28"/>
          <w:szCs w:val="28"/>
        </w:rPr>
        <w:t>витрат коштів з державного</w:t>
      </w:r>
      <w:r w:rsidR="00E27647" w:rsidRPr="003611BA">
        <w:rPr>
          <w:snapToGrid w:val="0"/>
          <w:sz w:val="28"/>
          <w:szCs w:val="28"/>
        </w:rPr>
        <w:t xml:space="preserve"> чи місцевого </w:t>
      </w:r>
      <w:r w:rsidRPr="003611BA">
        <w:rPr>
          <w:snapToGrid w:val="0"/>
          <w:sz w:val="28"/>
          <w:szCs w:val="28"/>
        </w:rPr>
        <w:t>бюджету.</w:t>
      </w:r>
    </w:p>
    <w:p w:rsidR="00EB341D" w:rsidRPr="003611BA" w:rsidRDefault="00EB341D" w:rsidP="00730A62">
      <w:pPr>
        <w:ind w:firstLine="708"/>
        <w:jc w:val="both"/>
        <w:rPr>
          <w:snapToGrid w:val="0"/>
          <w:sz w:val="28"/>
          <w:szCs w:val="28"/>
        </w:rPr>
      </w:pPr>
    </w:p>
    <w:p w:rsidR="008E49A7" w:rsidRPr="003611BA" w:rsidRDefault="005A2574" w:rsidP="00730A62">
      <w:pPr>
        <w:widowControl w:val="0"/>
        <w:ind w:firstLine="708"/>
        <w:jc w:val="both"/>
        <w:rPr>
          <w:b/>
          <w:bCs/>
          <w:color w:val="000000"/>
          <w:sz w:val="28"/>
          <w:szCs w:val="28"/>
          <w:lang w:bidi="uk-UA"/>
        </w:rPr>
      </w:pPr>
      <w:bookmarkStart w:id="1" w:name="bookmark11"/>
      <w:r w:rsidRPr="003611BA">
        <w:rPr>
          <w:b/>
          <w:color w:val="000000"/>
          <w:sz w:val="28"/>
          <w:szCs w:val="28"/>
          <w:lang w:bidi="uk-UA"/>
        </w:rPr>
        <w:t>6</w:t>
      </w:r>
      <w:r w:rsidR="008E49A7" w:rsidRPr="003611BA">
        <w:rPr>
          <w:b/>
          <w:bCs/>
          <w:color w:val="000000"/>
          <w:sz w:val="28"/>
          <w:szCs w:val="28"/>
          <w:lang w:bidi="uk-UA"/>
        </w:rPr>
        <w:t xml:space="preserve">. </w:t>
      </w:r>
      <w:bookmarkEnd w:id="1"/>
      <w:r w:rsidR="008E49A7" w:rsidRPr="003611BA">
        <w:rPr>
          <w:b/>
          <w:bCs/>
          <w:color w:val="000000"/>
          <w:sz w:val="28"/>
          <w:szCs w:val="28"/>
          <w:lang w:bidi="uk-UA"/>
        </w:rPr>
        <w:t xml:space="preserve">Прогноз впливу </w:t>
      </w:r>
    </w:p>
    <w:p w:rsidR="003D23DE" w:rsidRPr="003611BA" w:rsidRDefault="003D23DE" w:rsidP="003D23DE">
      <w:pPr>
        <w:widowControl w:val="0"/>
        <w:tabs>
          <w:tab w:val="left" w:pos="4334"/>
        </w:tabs>
        <w:ind w:firstLine="708"/>
        <w:jc w:val="both"/>
        <w:rPr>
          <w:bCs/>
          <w:color w:val="000000"/>
          <w:sz w:val="28"/>
          <w:szCs w:val="28"/>
          <w:lang w:bidi="uk-UA"/>
        </w:rPr>
      </w:pPr>
      <w:r w:rsidRPr="003611BA">
        <w:rPr>
          <w:bCs/>
          <w:color w:val="000000"/>
          <w:sz w:val="28"/>
          <w:szCs w:val="28"/>
          <w:lang w:bidi="uk-UA"/>
        </w:rPr>
        <w:t xml:space="preserve">Проект постанови </w:t>
      </w:r>
      <w:r>
        <w:rPr>
          <w:bCs/>
          <w:color w:val="000000"/>
          <w:sz w:val="28"/>
          <w:szCs w:val="28"/>
          <w:lang w:bidi="uk-UA"/>
        </w:rPr>
        <w:t xml:space="preserve">вплине на </w:t>
      </w:r>
      <w:r w:rsidRPr="003611BA">
        <w:rPr>
          <w:bCs/>
          <w:color w:val="000000"/>
          <w:sz w:val="28"/>
          <w:szCs w:val="28"/>
          <w:lang w:bidi="uk-UA"/>
        </w:rPr>
        <w:t>бізнес-середовище в частині зменшення часових та фінансових витрат на необхідність отримання суб’єктами господарювання відповідних висновків.</w:t>
      </w:r>
    </w:p>
    <w:p w:rsidR="009241E7" w:rsidRDefault="003D23DE" w:rsidP="003D23DE">
      <w:pPr>
        <w:widowControl w:val="0"/>
        <w:tabs>
          <w:tab w:val="left" w:pos="4334"/>
        </w:tabs>
        <w:ind w:firstLine="708"/>
        <w:jc w:val="both"/>
        <w:rPr>
          <w:sz w:val="28"/>
          <w:szCs w:val="28"/>
          <w:lang w:eastAsia="ru-RU"/>
        </w:rPr>
      </w:pPr>
      <w:r w:rsidRPr="003611BA">
        <w:rPr>
          <w:bCs/>
          <w:color w:val="000000"/>
          <w:sz w:val="28"/>
          <w:szCs w:val="28"/>
          <w:lang w:bidi="uk-UA"/>
        </w:rPr>
        <w:t>Прогноз впливу додається.</w:t>
      </w:r>
      <w:bookmarkStart w:id="2" w:name="_GoBack"/>
      <w:bookmarkEnd w:id="2"/>
    </w:p>
    <w:p w:rsidR="00C33B46" w:rsidRPr="003611BA" w:rsidRDefault="00C33B46" w:rsidP="00730A62">
      <w:pPr>
        <w:ind w:firstLine="708"/>
        <w:jc w:val="both"/>
        <w:rPr>
          <w:b/>
          <w:bCs/>
          <w:sz w:val="28"/>
          <w:szCs w:val="28"/>
          <w:lang w:eastAsia="ru-RU"/>
        </w:rPr>
      </w:pPr>
    </w:p>
    <w:p w:rsidR="00252B8F" w:rsidRPr="003611BA" w:rsidRDefault="00252B8F" w:rsidP="00730A62">
      <w:pPr>
        <w:ind w:firstLine="708"/>
        <w:jc w:val="both"/>
        <w:rPr>
          <w:b/>
          <w:bCs/>
          <w:sz w:val="28"/>
          <w:szCs w:val="28"/>
          <w:lang w:eastAsia="ru-RU"/>
        </w:rPr>
      </w:pPr>
      <w:r w:rsidRPr="003611BA">
        <w:rPr>
          <w:b/>
          <w:bCs/>
          <w:sz w:val="28"/>
          <w:szCs w:val="28"/>
          <w:lang w:eastAsia="ru-RU"/>
        </w:rPr>
        <w:t>6</w:t>
      </w:r>
      <w:r w:rsidRPr="003611BA">
        <w:rPr>
          <w:b/>
          <w:bCs/>
          <w:sz w:val="28"/>
          <w:szCs w:val="28"/>
          <w:vertAlign w:val="superscript"/>
          <w:lang w:eastAsia="ru-RU"/>
        </w:rPr>
        <w:t>1</w:t>
      </w:r>
      <w:r w:rsidRPr="003611BA">
        <w:rPr>
          <w:b/>
          <w:bCs/>
          <w:sz w:val="28"/>
          <w:szCs w:val="28"/>
          <w:lang w:eastAsia="ru-RU"/>
        </w:rPr>
        <w:t>. Стратегічна екологічна оцінка</w:t>
      </w:r>
    </w:p>
    <w:p w:rsidR="00A07B10" w:rsidRPr="003611BA" w:rsidRDefault="00A07B10" w:rsidP="00730A62">
      <w:pPr>
        <w:shd w:val="clear" w:color="auto" w:fill="FFFFFF"/>
        <w:ind w:firstLine="708"/>
        <w:jc w:val="both"/>
        <w:rPr>
          <w:sz w:val="28"/>
          <w:szCs w:val="28"/>
        </w:rPr>
      </w:pPr>
      <w:r w:rsidRPr="003611BA">
        <w:rPr>
          <w:sz w:val="28"/>
          <w:szCs w:val="28"/>
        </w:rPr>
        <w:t>У проекті постанови відсутні положення, які затверджують документ державного планування.</w:t>
      </w:r>
    </w:p>
    <w:p w:rsidR="00E779F1" w:rsidRPr="003611BA" w:rsidRDefault="00E779F1" w:rsidP="00730A62">
      <w:pPr>
        <w:ind w:firstLine="708"/>
        <w:jc w:val="both"/>
        <w:rPr>
          <w:snapToGrid w:val="0"/>
          <w:sz w:val="28"/>
          <w:szCs w:val="28"/>
        </w:rPr>
      </w:pPr>
    </w:p>
    <w:p w:rsidR="00EA726D" w:rsidRPr="003611BA" w:rsidRDefault="00EA726D" w:rsidP="00730A62">
      <w:pPr>
        <w:keepNext/>
        <w:keepLines/>
        <w:widowControl w:val="0"/>
        <w:ind w:firstLine="708"/>
        <w:jc w:val="both"/>
        <w:outlineLvl w:val="2"/>
        <w:rPr>
          <w:b/>
          <w:bCs/>
          <w:color w:val="000000"/>
          <w:sz w:val="28"/>
          <w:szCs w:val="28"/>
          <w:lang w:bidi="uk-UA"/>
        </w:rPr>
      </w:pPr>
      <w:r w:rsidRPr="003611BA">
        <w:rPr>
          <w:b/>
          <w:bCs/>
          <w:color w:val="000000"/>
          <w:sz w:val="28"/>
          <w:szCs w:val="28"/>
          <w:lang w:bidi="uk-UA"/>
        </w:rPr>
        <w:t xml:space="preserve">7. Позиція заінтересованих сторін </w:t>
      </w:r>
    </w:p>
    <w:p w:rsidR="006A173F" w:rsidRPr="003611BA" w:rsidRDefault="006A173F" w:rsidP="00730A62">
      <w:pPr>
        <w:widowControl w:val="0"/>
        <w:tabs>
          <w:tab w:val="left" w:pos="4334"/>
        </w:tabs>
        <w:ind w:firstLine="708"/>
        <w:jc w:val="both"/>
        <w:rPr>
          <w:bCs/>
          <w:color w:val="000000"/>
          <w:sz w:val="28"/>
          <w:szCs w:val="28"/>
          <w:lang w:bidi="uk-UA"/>
        </w:rPr>
      </w:pPr>
      <w:r w:rsidRPr="003611BA">
        <w:rPr>
          <w:bCs/>
          <w:color w:val="000000"/>
          <w:sz w:val="28"/>
          <w:szCs w:val="28"/>
          <w:lang w:bidi="uk-UA"/>
        </w:rPr>
        <w:t>Проект постанови не стосується питань функціонування місцевого самоврядування, прав та інтересів територіальних громад, місцевого та регіонального розвитку.</w:t>
      </w:r>
    </w:p>
    <w:p w:rsidR="006A173F" w:rsidRPr="003611BA" w:rsidRDefault="006A173F" w:rsidP="00730A62">
      <w:pPr>
        <w:widowControl w:val="0"/>
        <w:tabs>
          <w:tab w:val="left" w:pos="4334"/>
        </w:tabs>
        <w:ind w:firstLine="708"/>
        <w:jc w:val="both"/>
        <w:rPr>
          <w:bCs/>
          <w:color w:val="000000"/>
          <w:sz w:val="28"/>
          <w:szCs w:val="28"/>
          <w:lang w:bidi="uk-UA"/>
        </w:rPr>
      </w:pPr>
      <w:bookmarkStart w:id="3" w:name="n1729"/>
      <w:bookmarkStart w:id="4" w:name="n1730"/>
      <w:bookmarkStart w:id="5" w:name="n1731"/>
      <w:bookmarkStart w:id="6" w:name="n1732"/>
      <w:bookmarkEnd w:id="3"/>
      <w:bookmarkEnd w:id="4"/>
      <w:bookmarkEnd w:id="5"/>
      <w:bookmarkEnd w:id="6"/>
      <w:r w:rsidRPr="003611BA">
        <w:rPr>
          <w:bCs/>
          <w:color w:val="000000"/>
          <w:sz w:val="28"/>
          <w:szCs w:val="28"/>
          <w:lang w:bidi="uk-UA"/>
        </w:rPr>
        <w:t>Проект постанови не стосується соціально-трудової сфери і не потребує погодження уповноважених представників всеукраїнських профспілок, їх об’єднань та всеукраїнських об’єднань організацій роботодавців.</w:t>
      </w:r>
    </w:p>
    <w:p w:rsidR="00E779F1" w:rsidRPr="003611BA" w:rsidRDefault="00E779F1" w:rsidP="00730A62">
      <w:pPr>
        <w:widowControl w:val="0"/>
        <w:tabs>
          <w:tab w:val="left" w:pos="4334"/>
        </w:tabs>
        <w:ind w:firstLine="708"/>
        <w:jc w:val="both"/>
        <w:rPr>
          <w:bCs/>
          <w:color w:val="000000"/>
          <w:sz w:val="28"/>
          <w:szCs w:val="28"/>
          <w:lang w:bidi="uk-UA"/>
        </w:rPr>
      </w:pPr>
    </w:p>
    <w:p w:rsidR="00EA726D" w:rsidRPr="003611BA" w:rsidRDefault="00EA726D" w:rsidP="00730A62">
      <w:pPr>
        <w:widowControl w:val="0"/>
        <w:ind w:firstLine="708"/>
        <w:jc w:val="both"/>
        <w:rPr>
          <w:b/>
          <w:bCs/>
          <w:color w:val="000000"/>
          <w:sz w:val="28"/>
          <w:szCs w:val="28"/>
          <w:lang w:bidi="uk-UA"/>
        </w:rPr>
      </w:pPr>
      <w:r w:rsidRPr="003611BA">
        <w:rPr>
          <w:b/>
          <w:bCs/>
          <w:color w:val="000000"/>
          <w:sz w:val="28"/>
          <w:szCs w:val="28"/>
          <w:lang w:bidi="uk-UA"/>
        </w:rPr>
        <w:t>8. Громадське обговорення</w:t>
      </w:r>
    </w:p>
    <w:p w:rsidR="00226401" w:rsidRPr="001A13DB" w:rsidRDefault="00226401" w:rsidP="00226401">
      <w:pPr>
        <w:widowControl w:val="0"/>
        <w:spacing w:after="60"/>
        <w:ind w:firstLine="709"/>
        <w:jc w:val="both"/>
        <w:rPr>
          <w:sz w:val="28"/>
          <w:szCs w:val="28"/>
          <w:lang w:eastAsia="ru-RU"/>
        </w:rPr>
      </w:pPr>
      <w:r w:rsidRPr="001A13DB">
        <w:rPr>
          <w:sz w:val="28"/>
          <w:szCs w:val="28"/>
          <w:lang w:eastAsia="ru-RU"/>
        </w:rPr>
        <w:t xml:space="preserve">Проект </w:t>
      </w:r>
      <w:r>
        <w:rPr>
          <w:sz w:val="28"/>
          <w:szCs w:val="28"/>
          <w:lang w:eastAsia="ru-RU"/>
        </w:rPr>
        <w:t>постанови</w:t>
      </w:r>
      <w:r w:rsidRPr="001A13DB">
        <w:rPr>
          <w:sz w:val="28"/>
          <w:szCs w:val="28"/>
          <w:lang w:eastAsia="ru-RU"/>
        </w:rPr>
        <w:t xml:space="preserve"> не потребує проведення консультацій з громадськістю.</w:t>
      </w:r>
    </w:p>
    <w:p w:rsidR="00DE3926" w:rsidRPr="003611BA" w:rsidRDefault="00DE3926" w:rsidP="00730A62">
      <w:pPr>
        <w:tabs>
          <w:tab w:val="num" w:pos="720"/>
        </w:tabs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B3116F" w:rsidRDefault="00EA726D" w:rsidP="00730A62">
      <w:pPr>
        <w:widowControl w:val="0"/>
        <w:ind w:firstLine="708"/>
        <w:jc w:val="both"/>
        <w:rPr>
          <w:b/>
          <w:bCs/>
          <w:color w:val="000000"/>
          <w:sz w:val="28"/>
          <w:szCs w:val="28"/>
          <w:lang w:bidi="uk-UA"/>
        </w:rPr>
      </w:pPr>
      <w:r w:rsidRPr="003611BA">
        <w:rPr>
          <w:b/>
          <w:bCs/>
          <w:color w:val="000000"/>
          <w:sz w:val="28"/>
          <w:szCs w:val="28"/>
          <w:lang w:bidi="uk-UA"/>
        </w:rPr>
        <w:t>9. Позиція заінтересованих органів</w:t>
      </w:r>
    </w:p>
    <w:p w:rsidR="0018279C" w:rsidRPr="00A145AF" w:rsidRDefault="00EA726D" w:rsidP="001E06FE">
      <w:pPr>
        <w:widowControl w:val="0"/>
        <w:ind w:firstLine="708"/>
        <w:jc w:val="both"/>
        <w:rPr>
          <w:sz w:val="28"/>
          <w:szCs w:val="28"/>
          <w:lang w:eastAsia="ru-RU"/>
        </w:rPr>
      </w:pPr>
      <w:r w:rsidRPr="00A145AF">
        <w:rPr>
          <w:bCs/>
          <w:sz w:val="28"/>
          <w:szCs w:val="28"/>
          <w:lang w:bidi="uk-UA"/>
        </w:rPr>
        <w:t xml:space="preserve">Проект постанови потребує </w:t>
      </w:r>
      <w:r w:rsidRPr="00A145AF">
        <w:rPr>
          <w:sz w:val="28"/>
          <w:szCs w:val="28"/>
          <w:lang w:eastAsia="ru-RU"/>
        </w:rPr>
        <w:t xml:space="preserve">погодження </w:t>
      </w:r>
      <w:r w:rsidR="004B6C10" w:rsidRPr="00A145AF">
        <w:rPr>
          <w:sz w:val="28"/>
          <w:szCs w:val="28"/>
          <w:lang w:eastAsia="ru-RU"/>
        </w:rPr>
        <w:t>Мінагр</w:t>
      </w:r>
      <w:r w:rsidR="00833F27" w:rsidRPr="00A145AF">
        <w:rPr>
          <w:sz w:val="28"/>
          <w:szCs w:val="28"/>
          <w:lang w:eastAsia="ru-RU"/>
        </w:rPr>
        <w:t>о</w:t>
      </w:r>
      <w:r w:rsidR="004B6C10" w:rsidRPr="00A145AF">
        <w:rPr>
          <w:sz w:val="28"/>
          <w:szCs w:val="28"/>
          <w:lang w:eastAsia="ru-RU"/>
        </w:rPr>
        <w:t>політики, Мінфін</w:t>
      </w:r>
      <w:r w:rsidR="00833F27" w:rsidRPr="00A145AF">
        <w:rPr>
          <w:sz w:val="28"/>
          <w:szCs w:val="28"/>
          <w:lang w:eastAsia="ru-RU"/>
        </w:rPr>
        <w:t>ом</w:t>
      </w:r>
      <w:r w:rsidRPr="00A145AF">
        <w:rPr>
          <w:sz w:val="28"/>
          <w:szCs w:val="28"/>
          <w:lang w:eastAsia="ru-RU"/>
        </w:rPr>
        <w:t>,</w:t>
      </w:r>
      <w:r w:rsidR="006A3182" w:rsidRPr="00A145AF">
        <w:rPr>
          <w:sz w:val="28"/>
          <w:szCs w:val="28"/>
          <w:lang w:eastAsia="ru-RU"/>
        </w:rPr>
        <w:t xml:space="preserve"> Міненерг</w:t>
      </w:r>
      <w:r w:rsidR="00833F27" w:rsidRPr="00A145AF">
        <w:rPr>
          <w:sz w:val="28"/>
          <w:szCs w:val="28"/>
          <w:lang w:eastAsia="ru-RU"/>
        </w:rPr>
        <w:t>о</w:t>
      </w:r>
      <w:r w:rsidR="006A3182" w:rsidRPr="00A145AF">
        <w:rPr>
          <w:sz w:val="28"/>
          <w:szCs w:val="28"/>
          <w:lang w:eastAsia="ru-RU"/>
        </w:rPr>
        <w:t>вугіл</w:t>
      </w:r>
      <w:r w:rsidR="00833F27" w:rsidRPr="00A145AF">
        <w:rPr>
          <w:sz w:val="28"/>
          <w:szCs w:val="28"/>
          <w:lang w:eastAsia="ru-RU"/>
        </w:rPr>
        <w:t>ля</w:t>
      </w:r>
      <w:r w:rsidR="006A3182" w:rsidRPr="00A145AF">
        <w:rPr>
          <w:sz w:val="28"/>
          <w:szCs w:val="28"/>
          <w:lang w:eastAsia="ru-RU"/>
        </w:rPr>
        <w:t>,</w:t>
      </w:r>
      <w:r w:rsidRPr="00A145AF">
        <w:rPr>
          <w:sz w:val="28"/>
          <w:szCs w:val="28"/>
          <w:lang w:eastAsia="ru-RU"/>
        </w:rPr>
        <w:t xml:space="preserve"> </w:t>
      </w:r>
      <w:r w:rsidR="004B6C10" w:rsidRPr="00A145AF">
        <w:rPr>
          <w:sz w:val="28"/>
          <w:szCs w:val="28"/>
          <w:lang w:eastAsia="ru-RU"/>
        </w:rPr>
        <w:t>Д</w:t>
      </w:r>
      <w:r w:rsidR="00833F27" w:rsidRPr="00A145AF">
        <w:rPr>
          <w:sz w:val="28"/>
          <w:szCs w:val="28"/>
          <w:lang w:eastAsia="ru-RU"/>
        </w:rPr>
        <w:t xml:space="preserve">РС </w:t>
      </w:r>
      <w:r w:rsidR="0018279C" w:rsidRPr="00A145AF">
        <w:rPr>
          <w:sz w:val="28"/>
          <w:szCs w:val="28"/>
          <w:lang w:eastAsia="ru-RU"/>
        </w:rPr>
        <w:t>та Державним агентством України з питань електронного урядування.</w:t>
      </w:r>
    </w:p>
    <w:p w:rsidR="00B3116F" w:rsidRDefault="00B3116F" w:rsidP="001E06FE">
      <w:pPr>
        <w:widowControl w:val="0"/>
        <w:ind w:firstLine="708"/>
        <w:jc w:val="both"/>
        <w:rPr>
          <w:b/>
          <w:bCs/>
          <w:color w:val="000000"/>
          <w:sz w:val="28"/>
          <w:szCs w:val="28"/>
          <w:lang w:bidi="uk-UA"/>
        </w:rPr>
      </w:pPr>
    </w:p>
    <w:p w:rsidR="00B3116F" w:rsidRDefault="00EA726D" w:rsidP="001E06FE">
      <w:pPr>
        <w:widowControl w:val="0"/>
        <w:ind w:firstLine="708"/>
        <w:jc w:val="both"/>
        <w:rPr>
          <w:b/>
          <w:bCs/>
          <w:color w:val="000000"/>
          <w:sz w:val="28"/>
          <w:szCs w:val="28"/>
          <w:lang w:bidi="uk-UA"/>
        </w:rPr>
      </w:pPr>
      <w:r w:rsidRPr="003611BA">
        <w:rPr>
          <w:b/>
          <w:bCs/>
          <w:color w:val="000000"/>
          <w:sz w:val="28"/>
          <w:szCs w:val="28"/>
          <w:lang w:bidi="uk-UA"/>
        </w:rPr>
        <w:t>10. Правова експертиза</w:t>
      </w:r>
    </w:p>
    <w:p w:rsidR="00B3116F" w:rsidRDefault="00833F27" w:rsidP="001E06FE">
      <w:pPr>
        <w:widowControl w:val="0"/>
        <w:ind w:firstLine="708"/>
        <w:jc w:val="both"/>
        <w:rPr>
          <w:bCs/>
          <w:color w:val="000000"/>
          <w:sz w:val="28"/>
          <w:szCs w:val="28"/>
          <w:lang w:bidi="uk-UA"/>
        </w:rPr>
      </w:pPr>
      <w:r w:rsidRPr="00833F27">
        <w:rPr>
          <w:bCs/>
          <w:color w:val="000000"/>
          <w:sz w:val="28"/>
          <w:szCs w:val="28"/>
          <w:lang w:bidi="uk-UA"/>
        </w:rPr>
        <w:t>Проект Закону потребує проведення правової експертизи</w:t>
      </w:r>
      <w:r>
        <w:rPr>
          <w:bCs/>
          <w:color w:val="000000"/>
          <w:sz w:val="28"/>
          <w:szCs w:val="28"/>
          <w:lang w:bidi="uk-UA"/>
        </w:rPr>
        <w:t xml:space="preserve"> </w:t>
      </w:r>
      <w:r w:rsidRPr="00833F27">
        <w:rPr>
          <w:bCs/>
          <w:color w:val="000000"/>
          <w:sz w:val="28"/>
          <w:szCs w:val="28"/>
          <w:lang w:bidi="uk-UA"/>
        </w:rPr>
        <w:t>Мін’юстом.</w:t>
      </w:r>
    </w:p>
    <w:p w:rsidR="00833F27" w:rsidRDefault="00833F27" w:rsidP="001E06FE">
      <w:pPr>
        <w:widowControl w:val="0"/>
        <w:ind w:firstLine="708"/>
        <w:jc w:val="both"/>
        <w:rPr>
          <w:b/>
          <w:bCs/>
          <w:color w:val="000000"/>
          <w:sz w:val="28"/>
          <w:szCs w:val="28"/>
          <w:lang w:bidi="uk-UA"/>
        </w:rPr>
      </w:pPr>
    </w:p>
    <w:p w:rsidR="000839E5" w:rsidRDefault="00EA726D" w:rsidP="001E06FE">
      <w:pPr>
        <w:widowControl w:val="0"/>
        <w:ind w:firstLine="708"/>
        <w:jc w:val="both"/>
        <w:rPr>
          <w:b/>
          <w:bCs/>
          <w:color w:val="000000"/>
          <w:sz w:val="28"/>
          <w:szCs w:val="28"/>
          <w:lang w:bidi="uk-UA"/>
        </w:rPr>
      </w:pPr>
      <w:r w:rsidRPr="003611BA">
        <w:rPr>
          <w:b/>
          <w:bCs/>
          <w:color w:val="000000"/>
          <w:sz w:val="28"/>
          <w:szCs w:val="28"/>
          <w:lang w:bidi="uk-UA"/>
        </w:rPr>
        <w:lastRenderedPageBreak/>
        <w:t>1</w:t>
      </w:r>
      <w:r w:rsidRPr="003611BA">
        <w:rPr>
          <w:b/>
          <w:bCs/>
          <w:color w:val="000000"/>
          <w:sz w:val="28"/>
          <w:szCs w:val="28"/>
          <w:lang w:val="ru-RU" w:bidi="uk-UA"/>
        </w:rPr>
        <w:t>1</w:t>
      </w:r>
      <w:r w:rsidRPr="003611BA">
        <w:rPr>
          <w:b/>
          <w:bCs/>
          <w:color w:val="000000"/>
          <w:sz w:val="28"/>
          <w:szCs w:val="28"/>
          <w:lang w:bidi="uk-UA"/>
        </w:rPr>
        <w:t>. Запобігання дискримінації</w:t>
      </w:r>
    </w:p>
    <w:p w:rsidR="000839E5" w:rsidRPr="003611BA" w:rsidRDefault="00EA726D" w:rsidP="001E06FE">
      <w:pPr>
        <w:ind w:firstLine="708"/>
        <w:jc w:val="both"/>
        <w:rPr>
          <w:bCs/>
          <w:sz w:val="28"/>
          <w:szCs w:val="28"/>
        </w:rPr>
      </w:pPr>
      <w:r w:rsidRPr="003611BA">
        <w:rPr>
          <w:bCs/>
          <w:sz w:val="28"/>
          <w:szCs w:val="28"/>
        </w:rPr>
        <w:t xml:space="preserve">У проекті постанови відсутні положення, які містять ознаки дискримінації. </w:t>
      </w:r>
    </w:p>
    <w:p w:rsidR="00EA726D" w:rsidRPr="003611BA" w:rsidRDefault="000839E5" w:rsidP="001E06FE">
      <w:pPr>
        <w:ind w:firstLine="708"/>
        <w:jc w:val="both"/>
        <w:rPr>
          <w:bCs/>
          <w:sz w:val="28"/>
          <w:szCs w:val="28"/>
        </w:rPr>
      </w:pPr>
      <w:r w:rsidRPr="003611BA">
        <w:rPr>
          <w:bCs/>
          <w:sz w:val="28"/>
          <w:szCs w:val="28"/>
        </w:rPr>
        <w:t>У зв’язку з цим, г</w:t>
      </w:r>
      <w:r w:rsidR="00EA726D" w:rsidRPr="003611BA">
        <w:rPr>
          <w:bCs/>
          <w:sz w:val="28"/>
          <w:szCs w:val="28"/>
        </w:rPr>
        <w:t>ромадська антидискримінаційна експертиза не проводилася.</w:t>
      </w:r>
    </w:p>
    <w:p w:rsidR="00EA726D" w:rsidRPr="003611BA" w:rsidRDefault="00EA726D" w:rsidP="001E06FE">
      <w:pPr>
        <w:ind w:firstLine="708"/>
        <w:jc w:val="both"/>
        <w:rPr>
          <w:bCs/>
          <w:sz w:val="28"/>
          <w:szCs w:val="28"/>
        </w:rPr>
      </w:pPr>
    </w:p>
    <w:p w:rsidR="00EA726D" w:rsidRPr="003611BA" w:rsidRDefault="00EA726D" w:rsidP="001E06FE">
      <w:pPr>
        <w:widowControl w:val="0"/>
        <w:ind w:firstLine="708"/>
        <w:jc w:val="both"/>
        <w:rPr>
          <w:b/>
          <w:bCs/>
          <w:color w:val="000000"/>
          <w:sz w:val="28"/>
          <w:szCs w:val="28"/>
          <w:lang w:bidi="uk-UA"/>
        </w:rPr>
      </w:pPr>
      <w:r w:rsidRPr="003611BA">
        <w:rPr>
          <w:b/>
          <w:bCs/>
          <w:color w:val="000000"/>
          <w:sz w:val="28"/>
          <w:szCs w:val="28"/>
          <w:lang w:bidi="uk-UA"/>
        </w:rPr>
        <w:t>11</w:t>
      </w:r>
      <w:r w:rsidRPr="003611BA">
        <w:rPr>
          <w:b/>
          <w:bCs/>
          <w:color w:val="000000"/>
          <w:sz w:val="28"/>
          <w:szCs w:val="28"/>
          <w:vertAlign w:val="superscript"/>
          <w:lang w:bidi="uk-UA"/>
        </w:rPr>
        <w:t>1</w:t>
      </w:r>
      <w:r w:rsidRPr="003611BA">
        <w:rPr>
          <w:b/>
          <w:bCs/>
          <w:color w:val="000000"/>
          <w:sz w:val="28"/>
          <w:szCs w:val="28"/>
          <w:lang w:bidi="uk-UA"/>
        </w:rPr>
        <w:t>. Відповідність принципу забезпечення рівних прав та можливостей жінок і чоловіків</w:t>
      </w:r>
    </w:p>
    <w:p w:rsidR="004E4860" w:rsidRDefault="00EA726D" w:rsidP="001E06FE">
      <w:pPr>
        <w:widowControl w:val="0"/>
        <w:ind w:firstLine="708"/>
        <w:jc w:val="both"/>
        <w:rPr>
          <w:bCs/>
          <w:color w:val="000000"/>
          <w:sz w:val="28"/>
          <w:szCs w:val="28"/>
          <w:lang w:bidi="uk-UA"/>
        </w:rPr>
      </w:pPr>
      <w:r w:rsidRPr="003611BA">
        <w:rPr>
          <w:bCs/>
          <w:color w:val="000000"/>
          <w:sz w:val="28"/>
          <w:szCs w:val="28"/>
          <w:lang w:bidi="uk-UA"/>
        </w:rPr>
        <w:t>У проекті постанови від</w:t>
      </w:r>
      <w:r w:rsidR="004B3C87" w:rsidRPr="003611BA">
        <w:rPr>
          <w:bCs/>
          <w:color w:val="000000"/>
          <w:sz w:val="28"/>
          <w:szCs w:val="28"/>
          <w:lang w:bidi="uk-UA"/>
        </w:rPr>
        <w:t>сутні положення</w:t>
      </w:r>
      <w:r w:rsidRPr="003611BA">
        <w:rPr>
          <w:bCs/>
          <w:color w:val="000000"/>
          <w:sz w:val="28"/>
          <w:szCs w:val="28"/>
          <w:lang w:bidi="uk-UA"/>
        </w:rPr>
        <w:t xml:space="preserve">, які порушують принцип забезпечення рівних прав та можливостей жінок і чоловіків. </w:t>
      </w:r>
    </w:p>
    <w:p w:rsidR="00B3116F" w:rsidRDefault="00EA726D" w:rsidP="001E06FE">
      <w:pPr>
        <w:widowControl w:val="0"/>
        <w:ind w:firstLine="708"/>
        <w:jc w:val="both"/>
        <w:rPr>
          <w:color w:val="000000"/>
          <w:sz w:val="28"/>
          <w:szCs w:val="28"/>
          <w:lang w:bidi="uk-UA"/>
        </w:rPr>
      </w:pPr>
      <w:r w:rsidRPr="003611BA">
        <w:rPr>
          <w:bCs/>
          <w:color w:val="000000"/>
          <w:sz w:val="28"/>
          <w:szCs w:val="28"/>
          <w:lang w:bidi="uk-UA"/>
        </w:rPr>
        <w:t>Проект постанови не матиме відповідного гендерного впливу.</w:t>
      </w:r>
      <w:bookmarkStart w:id="7" w:name="bookmark13"/>
    </w:p>
    <w:p w:rsidR="00B3116F" w:rsidRDefault="00B3116F" w:rsidP="001E06FE">
      <w:pPr>
        <w:widowControl w:val="0"/>
        <w:ind w:firstLine="708"/>
        <w:jc w:val="both"/>
        <w:rPr>
          <w:color w:val="000000"/>
          <w:sz w:val="28"/>
          <w:szCs w:val="28"/>
          <w:lang w:bidi="uk-UA"/>
        </w:rPr>
      </w:pPr>
    </w:p>
    <w:p w:rsidR="00B3116F" w:rsidRDefault="00EA726D" w:rsidP="001E06FE">
      <w:pPr>
        <w:widowControl w:val="0"/>
        <w:ind w:firstLine="708"/>
        <w:jc w:val="both"/>
        <w:rPr>
          <w:color w:val="000000"/>
          <w:sz w:val="28"/>
          <w:szCs w:val="28"/>
          <w:lang w:bidi="uk-UA"/>
        </w:rPr>
      </w:pPr>
      <w:r w:rsidRPr="003611BA">
        <w:rPr>
          <w:b/>
          <w:bCs/>
          <w:color w:val="000000"/>
          <w:sz w:val="28"/>
          <w:szCs w:val="28"/>
          <w:lang w:bidi="uk-UA"/>
        </w:rPr>
        <w:t>12. Запобігання корупції</w:t>
      </w:r>
      <w:bookmarkStart w:id="8" w:name="bookmark14"/>
      <w:bookmarkEnd w:id="7"/>
    </w:p>
    <w:p w:rsidR="00EA726D" w:rsidRPr="00B3116F" w:rsidRDefault="00EA726D" w:rsidP="001E06FE">
      <w:pPr>
        <w:widowControl w:val="0"/>
        <w:ind w:firstLine="708"/>
        <w:jc w:val="both"/>
        <w:rPr>
          <w:color w:val="000000"/>
          <w:sz w:val="28"/>
          <w:szCs w:val="28"/>
          <w:lang w:bidi="uk-UA"/>
        </w:rPr>
      </w:pPr>
      <w:r w:rsidRPr="003611BA">
        <w:rPr>
          <w:bCs/>
          <w:sz w:val="28"/>
          <w:szCs w:val="28"/>
        </w:rPr>
        <w:t xml:space="preserve">У проекті постанови відсутні правила і процедури, які можуть містити ризики вчинення корупційних правопорушень. </w:t>
      </w:r>
      <w:r w:rsidR="001F6D68" w:rsidRPr="003611BA">
        <w:rPr>
          <w:bCs/>
          <w:sz w:val="28"/>
          <w:szCs w:val="28"/>
        </w:rPr>
        <w:t>Громадська антикорупційна експертиза не проводилася.</w:t>
      </w:r>
    </w:p>
    <w:bookmarkEnd w:id="8"/>
    <w:p w:rsidR="00EA726D" w:rsidRPr="003611BA" w:rsidRDefault="00EA726D" w:rsidP="001E06FE">
      <w:pPr>
        <w:widowControl w:val="0"/>
        <w:ind w:firstLine="708"/>
        <w:jc w:val="both"/>
        <w:rPr>
          <w:color w:val="000000"/>
          <w:sz w:val="28"/>
          <w:szCs w:val="28"/>
          <w:lang w:bidi="uk-UA"/>
        </w:rPr>
      </w:pPr>
    </w:p>
    <w:p w:rsidR="00EA726D" w:rsidRPr="00493708" w:rsidRDefault="00EA726D" w:rsidP="001E06FE">
      <w:pPr>
        <w:widowControl w:val="0"/>
        <w:ind w:firstLine="708"/>
        <w:jc w:val="both"/>
        <w:rPr>
          <w:b/>
          <w:bCs/>
          <w:color w:val="000000"/>
          <w:sz w:val="28"/>
          <w:szCs w:val="28"/>
          <w:lang w:bidi="uk-UA"/>
        </w:rPr>
      </w:pPr>
      <w:bookmarkStart w:id="9" w:name="bookmark17"/>
      <w:r w:rsidRPr="003611BA">
        <w:rPr>
          <w:b/>
          <w:bCs/>
          <w:smallCaps/>
          <w:color w:val="000000"/>
          <w:sz w:val="28"/>
          <w:szCs w:val="28"/>
          <w:lang w:bidi="uk-UA"/>
        </w:rPr>
        <w:t xml:space="preserve">13. </w:t>
      </w:r>
      <w:r w:rsidRPr="003611BA">
        <w:rPr>
          <w:b/>
          <w:bCs/>
          <w:color w:val="000000"/>
          <w:sz w:val="28"/>
          <w:szCs w:val="28"/>
          <w:lang w:bidi="uk-UA"/>
        </w:rPr>
        <w:t xml:space="preserve">Прогноз </w:t>
      </w:r>
      <w:r w:rsidRPr="00493708">
        <w:rPr>
          <w:b/>
          <w:bCs/>
          <w:color w:val="000000"/>
          <w:sz w:val="28"/>
          <w:szCs w:val="28"/>
          <w:lang w:bidi="uk-UA"/>
        </w:rPr>
        <w:t>результатів</w:t>
      </w:r>
      <w:bookmarkEnd w:id="9"/>
    </w:p>
    <w:p w:rsidR="001F6D68" w:rsidRPr="00493708" w:rsidRDefault="001F6D68" w:rsidP="001E06FE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493708">
        <w:rPr>
          <w:snapToGrid w:val="0"/>
          <w:sz w:val="28"/>
          <w:szCs w:val="28"/>
        </w:rPr>
        <w:t>У разі прийняття проекту постанови:</w:t>
      </w:r>
    </w:p>
    <w:p w:rsidR="001F6D68" w:rsidRPr="00493708" w:rsidRDefault="00806FC1" w:rsidP="001E06FE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493708">
        <w:rPr>
          <w:snapToGrid w:val="0"/>
          <w:sz w:val="28"/>
          <w:szCs w:val="28"/>
        </w:rPr>
        <w:t xml:space="preserve">будуть зменшені </w:t>
      </w:r>
      <w:r w:rsidR="001F6D68" w:rsidRPr="00493708">
        <w:rPr>
          <w:snapToGrid w:val="0"/>
          <w:sz w:val="28"/>
          <w:szCs w:val="28"/>
        </w:rPr>
        <w:t>часові і фінансові витрати суб’єктів господарювання, що отриму</w:t>
      </w:r>
      <w:r w:rsidR="0098506B" w:rsidRPr="00493708">
        <w:rPr>
          <w:snapToGrid w:val="0"/>
          <w:sz w:val="28"/>
          <w:szCs w:val="28"/>
        </w:rPr>
        <w:t>вали</w:t>
      </w:r>
      <w:r w:rsidR="001F6D68" w:rsidRPr="00493708">
        <w:rPr>
          <w:snapToGrid w:val="0"/>
          <w:sz w:val="28"/>
          <w:szCs w:val="28"/>
        </w:rPr>
        <w:t xml:space="preserve"> відповідні висновки;</w:t>
      </w:r>
    </w:p>
    <w:p w:rsidR="001F6D68" w:rsidRPr="00493708" w:rsidRDefault="001F6D68" w:rsidP="001E06FE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493708">
        <w:rPr>
          <w:snapToGrid w:val="0"/>
          <w:sz w:val="28"/>
          <w:szCs w:val="28"/>
        </w:rPr>
        <w:t>зменшиться регуляторний тиск та поліпшаться умови ведення бізнесу;</w:t>
      </w:r>
    </w:p>
    <w:p w:rsidR="001F6D68" w:rsidRPr="003611BA" w:rsidRDefault="001F6D68" w:rsidP="001E06FE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493708">
        <w:rPr>
          <w:snapToGrid w:val="0"/>
          <w:sz w:val="28"/>
          <w:szCs w:val="28"/>
        </w:rPr>
        <w:t>нормативно-правові акти будуть приведені у відповідність до вимог законів України</w:t>
      </w:r>
      <w:r w:rsidR="00735B82" w:rsidRPr="00493708">
        <w:rPr>
          <w:snapToGrid w:val="0"/>
          <w:sz w:val="28"/>
          <w:szCs w:val="28"/>
        </w:rPr>
        <w:t>.</w:t>
      </w:r>
    </w:p>
    <w:p w:rsidR="00E779F1" w:rsidRPr="003611BA" w:rsidRDefault="00E779F1" w:rsidP="00E779F1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</w:p>
    <w:p w:rsidR="00635C06" w:rsidRPr="003611BA" w:rsidRDefault="00635C06" w:rsidP="00635C06">
      <w:pPr>
        <w:jc w:val="both"/>
        <w:rPr>
          <w:b/>
          <w:snapToGrid w:val="0"/>
          <w:sz w:val="28"/>
          <w:szCs w:val="28"/>
        </w:rPr>
      </w:pPr>
      <w:r w:rsidRPr="003611BA">
        <w:rPr>
          <w:b/>
          <w:snapToGrid w:val="0"/>
          <w:sz w:val="28"/>
          <w:szCs w:val="28"/>
        </w:rPr>
        <w:t xml:space="preserve">Перший віце-прем’єр-міністр </w:t>
      </w:r>
    </w:p>
    <w:p w:rsidR="00635C06" w:rsidRPr="003611BA" w:rsidRDefault="00635C06" w:rsidP="00635C06">
      <w:pPr>
        <w:jc w:val="both"/>
        <w:rPr>
          <w:b/>
          <w:snapToGrid w:val="0"/>
          <w:sz w:val="28"/>
          <w:szCs w:val="28"/>
        </w:rPr>
      </w:pPr>
      <w:r w:rsidRPr="003611BA">
        <w:rPr>
          <w:b/>
          <w:snapToGrid w:val="0"/>
          <w:sz w:val="28"/>
          <w:szCs w:val="28"/>
        </w:rPr>
        <w:t xml:space="preserve">України – Міністр економічного </w:t>
      </w:r>
    </w:p>
    <w:p w:rsidR="00635C06" w:rsidRPr="003611BA" w:rsidRDefault="00635C06" w:rsidP="00635C06">
      <w:pPr>
        <w:jc w:val="both"/>
        <w:rPr>
          <w:b/>
          <w:snapToGrid w:val="0"/>
          <w:sz w:val="28"/>
          <w:szCs w:val="28"/>
        </w:rPr>
      </w:pPr>
      <w:r w:rsidRPr="003611BA">
        <w:rPr>
          <w:b/>
          <w:snapToGrid w:val="0"/>
          <w:sz w:val="28"/>
          <w:szCs w:val="28"/>
        </w:rPr>
        <w:t xml:space="preserve">розвитку і торгівлі України           </w:t>
      </w:r>
      <w:r w:rsidRPr="003611BA">
        <w:rPr>
          <w:b/>
          <w:snapToGrid w:val="0"/>
          <w:sz w:val="28"/>
          <w:szCs w:val="28"/>
        </w:rPr>
        <w:tab/>
        <w:t xml:space="preserve">       </w:t>
      </w:r>
      <w:r w:rsidRPr="003611BA">
        <w:rPr>
          <w:b/>
          <w:snapToGrid w:val="0"/>
          <w:sz w:val="28"/>
          <w:szCs w:val="28"/>
        </w:rPr>
        <w:tab/>
        <w:t xml:space="preserve">                          Степан КУБІВ</w:t>
      </w:r>
    </w:p>
    <w:p w:rsidR="00635C06" w:rsidRPr="005C6AA6" w:rsidRDefault="00635C06" w:rsidP="00635C06">
      <w:pPr>
        <w:jc w:val="both"/>
        <w:rPr>
          <w:snapToGrid w:val="0"/>
          <w:sz w:val="28"/>
          <w:szCs w:val="28"/>
        </w:rPr>
      </w:pPr>
    </w:p>
    <w:p w:rsidR="001260C8" w:rsidRPr="005C6AA6" w:rsidRDefault="001260C8" w:rsidP="00635C06">
      <w:pPr>
        <w:jc w:val="both"/>
        <w:rPr>
          <w:snapToGrid w:val="0"/>
          <w:sz w:val="28"/>
          <w:szCs w:val="28"/>
        </w:rPr>
      </w:pPr>
    </w:p>
    <w:p w:rsidR="00E779F1" w:rsidRDefault="00B3116F" w:rsidP="00E779F1">
      <w:pPr>
        <w:spacing w:line="360" w:lineRule="auto"/>
        <w:rPr>
          <w:snapToGrid w:val="0"/>
          <w:sz w:val="28"/>
          <w:szCs w:val="28"/>
        </w:rPr>
      </w:pPr>
      <w:r w:rsidRPr="005C6AA6">
        <w:rPr>
          <w:snapToGrid w:val="0"/>
          <w:sz w:val="28"/>
          <w:szCs w:val="28"/>
        </w:rPr>
        <w:t>«</w:t>
      </w:r>
      <w:r w:rsidR="00E779F1" w:rsidRPr="005C6AA6">
        <w:rPr>
          <w:snapToGrid w:val="0"/>
          <w:sz w:val="28"/>
          <w:szCs w:val="28"/>
        </w:rPr>
        <w:t>___</w:t>
      </w:r>
      <w:r w:rsidRPr="005C6AA6">
        <w:rPr>
          <w:snapToGrid w:val="0"/>
          <w:sz w:val="28"/>
          <w:szCs w:val="28"/>
        </w:rPr>
        <w:t>»</w:t>
      </w:r>
      <w:r w:rsidR="00E779F1" w:rsidRPr="005C6AA6">
        <w:rPr>
          <w:snapToGrid w:val="0"/>
          <w:sz w:val="28"/>
          <w:szCs w:val="28"/>
        </w:rPr>
        <w:t xml:space="preserve"> _____________ 201</w:t>
      </w:r>
      <w:r w:rsidR="00EA726D" w:rsidRPr="005C6AA6">
        <w:rPr>
          <w:snapToGrid w:val="0"/>
          <w:sz w:val="28"/>
          <w:szCs w:val="28"/>
        </w:rPr>
        <w:t>9</w:t>
      </w:r>
      <w:r w:rsidR="00E779F1" w:rsidRPr="005C6AA6">
        <w:rPr>
          <w:snapToGrid w:val="0"/>
          <w:sz w:val="28"/>
          <w:szCs w:val="28"/>
        </w:rPr>
        <w:t xml:space="preserve"> р.</w:t>
      </w:r>
    </w:p>
    <w:p w:rsidR="00BE3ACB" w:rsidRDefault="00BE3ACB" w:rsidP="00E779F1">
      <w:pPr>
        <w:spacing w:line="360" w:lineRule="auto"/>
        <w:rPr>
          <w:snapToGrid w:val="0"/>
          <w:sz w:val="28"/>
          <w:szCs w:val="28"/>
        </w:rPr>
      </w:pPr>
    </w:p>
    <w:p w:rsidR="00BE3ACB" w:rsidRDefault="00BE3ACB" w:rsidP="00E779F1">
      <w:pPr>
        <w:spacing w:line="360" w:lineRule="auto"/>
        <w:rPr>
          <w:snapToGrid w:val="0"/>
          <w:sz w:val="28"/>
          <w:szCs w:val="28"/>
        </w:rPr>
      </w:pPr>
    </w:p>
    <w:p w:rsidR="00BE3ACB" w:rsidRDefault="00BE3ACB" w:rsidP="00E779F1">
      <w:pPr>
        <w:spacing w:line="360" w:lineRule="auto"/>
        <w:rPr>
          <w:snapToGrid w:val="0"/>
          <w:sz w:val="28"/>
          <w:szCs w:val="28"/>
        </w:rPr>
      </w:pPr>
    </w:p>
    <w:p w:rsidR="00BE3ACB" w:rsidRDefault="00BE3ACB" w:rsidP="00E779F1">
      <w:pPr>
        <w:spacing w:line="360" w:lineRule="auto"/>
        <w:rPr>
          <w:snapToGrid w:val="0"/>
          <w:sz w:val="28"/>
          <w:szCs w:val="28"/>
        </w:rPr>
      </w:pPr>
    </w:p>
    <w:p w:rsidR="00BE3ACB" w:rsidRDefault="00BE3ACB" w:rsidP="00E779F1">
      <w:pPr>
        <w:spacing w:line="360" w:lineRule="auto"/>
        <w:rPr>
          <w:snapToGrid w:val="0"/>
          <w:sz w:val="28"/>
          <w:szCs w:val="28"/>
        </w:rPr>
      </w:pPr>
    </w:p>
    <w:p w:rsidR="00BE3ACB" w:rsidRDefault="00BE3ACB" w:rsidP="00E779F1">
      <w:pPr>
        <w:spacing w:line="360" w:lineRule="auto"/>
        <w:rPr>
          <w:snapToGrid w:val="0"/>
          <w:sz w:val="28"/>
          <w:szCs w:val="28"/>
        </w:rPr>
      </w:pPr>
    </w:p>
    <w:p w:rsidR="00BE3ACB" w:rsidRDefault="00BE3ACB" w:rsidP="00E779F1">
      <w:pPr>
        <w:spacing w:line="360" w:lineRule="auto"/>
        <w:rPr>
          <w:snapToGrid w:val="0"/>
          <w:sz w:val="28"/>
          <w:szCs w:val="28"/>
        </w:rPr>
      </w:pPr>
    </w:p>
    <w:p w:rsidR="00BE3ACB" w:rsidRDefault="00BE3ACB" w:rsidP="00E779F1">
      <w:pPr>
        <w:spacing w:line="360" w:lineRule="auto"/>
        <w:rPr>
          <w:snapToGrid w:val="0"/>
          <w:sz w:val="28"/>
          <w:szCs w:val="28"/>
        </w:rPr>
        <w:sectPr w:rsidR="00BE3ACB" w:rsidSect="00E33102">
          <w:headerReference w:type="even" r:id="rId12"/>
          <w:headerReference w:type="default" r:id="rId13"/>
          <w:pgSz w:w="11906" w:h="16838"/>
          <w:pgMar w:top="1134" w:right="991" w:bottom="851" w:left="1418" w:header="709" w:footer="709" w:gutter="0"/>
          <w:cols w:space="720"/>
          <w:titlePg/>
          <w:docGrid w:linePitch="360"/>
        </w:sectPr>
      </w:pPr>
    </w:p>
    <w:p w:rsidR="00AE541A" w:rsidRPr="003C6A44" w:rsidRDefault="00AE541A" w:rsidP="00AE541A">
      <w:pPr>
        <w:jc w:val="center"/>
        <w:outlineLvl w:val="0"/>
        <w:rPr>
          <w:sz w:val="28"/>
        </w:rPr>
      </w:pPr>
      <w:r w:rsidRPr="003C6A44">
        <w:rPr>
          <w:b/>
          <w:sz w:val="28"/>
        </w:rPr>
        <w:lastRenderedPageBreak/>
        <w:t>ПРОГНОЗ ВПЛИВІВ</w:t>
      </w:r>
    </w:p>
    <w:p w:rsidR="00AE541A" w:rsidRPr="003C6A44" w:rsidRDefault="00AE541A" w:rsidP="00AE541A">
      <w:pPr>
        <w:jc w:val="center"/>
        <w:rPr>
          <w:b/>
          <w:sz w:val="28"/>
        </w:rPr>
      </w:pPr>
      <w:r w:rsidRPr="003C6A44">
        <w:rPr>
          <w:b/>
          <w:sz w:val="28"/>
        </w:rPr>
        <w:t>внаслідок прийняття постанови Кабінету Міністрів України «</w:t>
      </w:r>
      <w:r w:rsidRPr="0060415F">
        <w:rPr>
          <w:b/>
          <w:sz w:val="28"/>
        </w:rPr>
        <w:t>Про визнання такими, що втратили чинність, деяких постанов Кабінету Міністрів України</w:t>
      </w:r>
      <w:r w:rsidRPr="003C6A44">
        <w:rPr>
          <w:b/>
          <w:sz w:val="28"/>
        </w:rPr>
        <w:t>»</w:t>
      </w:r>
    </w:p>
    <w:p w:rsidR="00AE541A" w:rsidRPr="00CC64F6" w:rsidRDefault="00AE541A" w:rsidP="00AE541A">
      <w:pPr>
        <w:spacing w:before="240"/>
        <w:rPr>
          <w:b/>
          <w:sz w:val="28"/>
        </w:rPr>
      </w:pPr>
      <w:r w:rsidRPr="003C6A44">
        <w:rPr>
          <w:b/>
          <w:sz w:val="28"/>
        </w:rPr>
        <w:t xml:space="preserve">Короткий опис суті проекту </w:t>
      </w:r>
      <w:r w:rsidRPr="00CC64F6">
        <w:rPr>
          <w:b/>
          <w:sz w:val="28"/>
        </w:rPr>
        <w:t>постанови</w:t>
      </w:r>
    </w:p>
    <w:p w:rsidR="00AE541A" w:rsidRDefault="00AE541A" w:rsidP="00AE541A">
      <w:pPr>
        <w:jc w:val="both"/>
        <w:rPr>
          <w:sz w:val="28"/>
          <w:szCs w:val="28"/>
        </w:rPr>
      </w:pPr>
      <w:r w:rsidRPr="00904F4C">
        <w:rPr>
          <w:sz w:val="28"/>
          <w:szCs w:val="28"/>
        </w:rPr>
        <w:t xml:space="preserve">Скасування необхідності </w:t>
      </w:r>
      <w:r>
        <w:rPr>
          <w:sz w:val="28"/>
          <w:szCs w:val="28"/>
        </w:rPr>
        <w:t xml:space="preserve">подання суб’єктами господарювання висновків, </w:t>
      </w:r>
      <w:r w:rsidRPr="003053A1">
        <w:rPr>
          <w:sz w:val="28"/>
          <w:szCs w:val="28"/>
        </w:rPr>
        <w:t>що станом на цей час не передбачені актами вищої юридичної сили та втратили свою актуальність</w:t>
      </w:r>
      <w:r>
        <w:rPr>
          <w:sz w:val="28"/>
          <w:szCs w:val="28"/>
        </w:rPr>
        <w:t>.</w:t>
      </w:r>
    </w:p>
    <w:p w:rsidR="00AE541A" w:rsidRPr="00904F4C" w:rsidRDefault="00AE541A" w:rsidP="00AE541A">
      <w:pPr>
        <w:spacing w:before="240"/>
        <w:jc w:val="both"/>
        <w:rPr>
          <w:b/>
          <w:sz w:val="28"/>
          <w:szCs w:val="28"/>
        </w:rPr>
      </w:pPr>
      <w:r w:rsidRPr="00904F4C">
        <w:rPr>
          <w:b/>
          <w:sz w:val="28"/>
          <w:szCs w:val="28"/>
        </w:rPr>
        <w:t>Прогноз впливів на інтереси заінтересованих сторін: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2413"/>
        <w:gridCol w:w="2627"/>
        <w:gridCol w:w="2983"/>
        <w:gridCol w:w="3280"/>
      </w:tblGrid>
      <w:tr w:rsidR="00503690" w:rsidRPr="00904F4C" w:rsidTr="003303A1">
        <w:tc>
          <w:tcPr>
            <w:tcW w:w="2436" w:type="dxa"/>
            <w:vMerge w:val="restart"/>
          </w:tcPr>
          <w:p w:rsidR="00AE541A" w:rsidRPr="00904F4C" w:rsidRDefault="00AE541A" w:rsidP="003303A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4F4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Заінтересована сторона</w:t>
            </w:r>
          </w:p>
        </w:tc>
        <w:tc>
          <w:tcPr>
            <w:tcW w:w="2436" w:type="dxa"/>
            <w:vMerge w:val="restart"/>
          </w:tcPr>
          <w:p w:rsidR="00AE541A" w:rsidRPr="00904F4C" w:rsidRDefault="00AE541A" w:rsidP="003303A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4F4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Ключовий інтерес</w:t>
            </w:r>
          </w:p>
        </w:tc>
        <w:tc>
          <w:tcPr>
            <w:tcW w:w="5624" w:type="dxa"/>
            <w:gridSpan w:val="2"/>
          </w:tcPr>
          <w:p w:rsidR="00AE541A" w:rsidRPr="00904F4C" w:rsidRDefault="00AE541A" w:rsidP="003303A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4F4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 (у числовому чи якісному вимірі)</w:t>
            </w:r>
          </w:p>
        </w:tc>
        <w:tc>
          <w:tcPr>
            <w:tcW w:w="3438" w:type="dxa"/>
            <w:vMerge w:val="restart"/>
          </w:tcPr>
          <w:p w:rsidR="00AE541A" w:rsidRPr="00904F4C" w:rsidRDefault="00AE541A" w:rsidP="003303A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4F4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Пояснення (чому саме реалізація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постанови</w:t>
            </w:r>
            <w:r w:rsidRPr="00904F4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призведе до прогнозованих впливів)</w:t>
            </w:r>
          </w:p>
        </w:tc>
      </w:tr>
      <w:tr w:rsidR="00503690" w:rsidRPr="00904F4C" w:rsidTr="003303A1">
        <w:tc>
          <w:tcPr>
            <w:tcW w:w="2436" w:type="dxa"/>
            <w:vMerge/>
          </w:tcPr>
          <w:p w:rsidR="00AE541A" w:rsidRPr="00904F4C" w:rsidRDefault="00AE541A" w:rsidP="003303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  <w:vMerge/>
          </w:tcPr>
          <w:p w:rsidR="00AE541A" w:rsidRPr="00904F4C" w:rsidRDefault="00AE541A" w:rsidP="003303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07" w:type="dxa"/>
          </w:tcPr>
          <w:p w:rsidR="00AE541A" w:rsidRPr="00904F4C" w:rsidRDefault="00AE541A" w:rsidP="003303A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4F4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Короткостроковий вплив (до року)</w:t>
            </w:r>
          </w:p>
        </w:tc>
        <w:tc>
          <w:tcPr>
            <w:tcW w:w="3017" w:type="dxa"/>
          </w:tcPr>
          <w:p w:rsidR="00AE541A" w:rsidRPr="00904F4C" w:rsidRDefault="00AE541A" w:rsidP="003303A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4F4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Середньостроковий вплив (після року)</w:t>
            </w:r>
          </w:p>
        </w:tc>
        <w:tc>
          <w:tcPr>
            <w:tcW w:w="3438" w:type="dxa"/>
            <w:vMerge/>
          </w:tcPr>
          <w:p w:rsidR="00AE541A" w:rsidRPr="00904F4C" w:rsidRDefault="00AE541A" w:rsidP="003303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03690" w:rsidRPr="00904F4C" w:rsidTr="003303A1">
        <w:tc>
          <w:tcPr>
            <w:tcW w:w="2436" w:type="dxa"/>
          </w:tcPr>
          <w:p w:rsidR="00AE541A" w:rsidRPr="00904F4C" w:rsidRDefault="00AE541A" w:rsidP="003303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Суб’єкти господарювання</w:t>
            </w:r>
          </w:p>
        </w:tc>
        <w:tc>
          <w:tcPr>
            <w:tcW w:w="2436" w:type="dxa"/>
          </w:tcPr>
          <w:p w:rsidR="00AE541A" w:rsidRPr="00904F4C" w:rsidRDefault="00AE541A" w:rsidP="003303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F4C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корочення часових та фінансових витрат на здійснення підприємницької діяльності</w:t>
            </w:r>
          </w:p>
        </w:tc>
        <w:tc>
          <w:tcPr>
            <w:tcW w:w="2607" w:type="dxa"/>
          </w:tcPr>
          <w:p w:rsidR="00AE541A" w:rsidRPr="00904F4C" w:rsidRDefault="00AE541A" w:rsidP="003303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F4C">
              <w:rPr>
                <w:rFonts w:ascii="Times New Roman" w:hAnsi="Times New Roman"/>
                <w:sz w:val="28"/>
                <w:szCs w:val="28"/>
                <w:lang w:val="uk-UA"/>
              </w:rPr>
              <w:t>Позитивний</w:t>
            </w:r>
          </w:p>
        </w:tc>
        <w:tc>
          <w:tcPr>
            <w:tcW w:w="3017" w:type="dxa"/>
          </w:tcPr>
          <w:p w:rsidR="00AE541A" w:rsidRPr="00904F4C" w:rsidRDefault="00AE541A" w:rsidP="003303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F4C">
              <w:rPr>
                <w:rFonts w:ascii="Times New Roman" w:hAnsi="Times New Roman"/>
                <w:sz w:val="28"/>
                <w:szCs w:val="28"/>
                <w:lang w:val="uk-UA"/>
              </w:rPr>
              <w:t>Позитивний</w:t>
            </w:r>
          </w:p>
        </w:tc>
        <w:tc>
          <w:tcPr>
            <w:tcW w:w="3438" w:type="dxa"/>
          </w:tcPr>
          <w:p w:rsidR="00AE541A" w:rsidRPr="00904F4C" w:rsidRDefault="00AE541A" w:rsidP="00513F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F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Скасовується необхідність </w:t>
            </w:r>
            <w:r w:rsidR="00513F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</w:t>
            </w:r>
            <w:r w:rsidRPr="00904F4C">
              <w:rPr>
                <w:rFonts w:ascii="Times New Roman" w:hAnsi="Times New Roman"/>
                <w:sz w:val="28"/>
                <w:szCs w:val="28"/>
                <w:lang w:val="uk-UA"/>
              </w:rPr>
              <w:t>суб’єкт</w:t>
            </w:r>
            <w:r w:rsidR="00513FF7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Pr="00904F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господарювання отримувати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висновки</w:t>
            </w:r>
          </w:p>
        </w:tc>
      </w:tr>
      <w:tr w:rsidR="00503690" w:rsidRPr="00904F4C" w:rsidTr="003303A1">
        <w:tc>
          <w:tcPr>
            <w:tcW w:w="2436" w:type="dxa"/>
          </w:tcPr>
          <w:p w:rsidR="00AE541A" w:rsidRPr="00904F4C" w:rsidRDefault="00AE541A" w:rsidP="003303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Посадові особи</w:t>
            </w:r>
          </w:p>
        </w:tc>
        <w:tc>
          <w:tcPr>
            <w:tcW w:w="2436" w:type="dxa"/>
          </w:tcPr>
          <w:p w:rsidR="00AE541A" w:rsidRPr="00904F4C" w:rsidRDefault="00AE541A" w:rsidP="0050369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F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Скасування необхідності </w:t>
            </w:r>
            <w:r w:rsidR="00503690">
              <w:rPr>
                <w:rFonts w:ascii="Times New Roman" w:hAnsi="Times New Roman"/>
                <w:sz w:val="28"/>
                <w:szCs w:val="28"/>
                <w:lang w:val="uk-UA"/>
              </w:rPr>
              <w:t>видавати висновки</w:t>
            </w:r>
          </w:p>
        </w:tc>
        <w:tc>
          <w:tcPr>
            <w:tcW w:w="2607" w:type="dxa"/>
          </w:tcPr>
          <w:p w:rsidR="00AE541A" w:rsidRPr="00904F4C" w:rsidRDefault="00AE541A" w:rsidP="003303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F4C">
              <w:rPr>
                <w:rFonts w:ascii="Times New Roman" w:hAnsi="Times New Roman"/>
                <w:sz w:val="28"/>
                <w:szCs w:val="28"/>
                <w:lang w:val="uk-UA"/>
              </w:rPr>
              <w:t>Позитивний</w:t>
            </w:r>
          </w:p>
        </w:tc>
        <w:tc>
          <w:tcPr>
            <w:tcW w:w="3017" w:type="dxa"/>
          </w:tcPr>
          <w:p w:rsidR="00AE541A" w:rsidRPr="00904F4C" w:rsidRDefault="00AE541A" w:rsidP="003303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F4C">
              <w:rPr>
                <w:rFonts w:ascii="Times New Roman" w:hAnsi="Times New Roman"/>
                <w:sz w:val="28"/>
                <w:szCs w:val="28"/>
                <w:lang w:val="uk-UA"/>
              </w:rPr>
              <w:t>Позитивний</w:t>
            </w:r>
          </w:p>
        </w:tc>
        <w:tc>
          <w:tcPr>
            <w:tcW w:w="3438" w:type="dxa"/>
          </w:tcPr>
          <w:p w:rsidR="00AE541A" w:rsidRPr="00904F4C" w:rsidRDefault="00AE541A" w:rsidP="00B83D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F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Скорочення часових і </w:t>
            </w:r>
            <w:r w:rsidR="00B83DA7">
              <w:rPr>
                <w:rFonts w:ascii="Times New Roman" w:hAnsi="Times New Roman"/>
                <w:sz w:val="28"/>
                <w:szCs w:val="28"/>
                <w:lang w:val="uk-UA"/>
              </w:rPr>
              <w:t>фінансових</w:t>
            </w:r>
            <w:r w:rsidRPr="00904F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витрат на видачу </w:t>
            </w:r>
            <w:r w:rsidR="00E11DBB">
              <w:rPr>
                <w:rFonts w:ascii="Times New Roman" w:hAnsi="Times New Roman"/>
                <w:sz w:val="28"/>
                <w:szCs w:val="28"/>
                <w:lang w:val="uk-UA"/>
              </w:rPr>
              <w:t>висновків</w:t>
            </w:r>
          </w:p>
        </w:tc>
      </w:tr>
    </w:tbl>
    <w:p w:rsidR="00AE541A" w:rsidRPr="00904F4C" w:rsidRDefault="00AE541A" w:rsidP="00AE541A">
      <w:pPr>
        <w:jc w:val="both"/>
        <w:rPr>
          <w:sz w:val="28"/>
          <w:szCs w:val="28"/>
        </w:rPr>
      </w:pPr>
    </w:p>
    <w:p w:rsidR="00AE541A" w:rsidRPr="00904F4C" w:rsidRDefault="00AE541A" w:rsidP="00AE541A">
      <w:pPr>
        <w:jc w:val="both"/>
        <w:rPr>
          <w:sz w:val="28"/>
          <w:szCs w:val="28"/>
        </w:rPr>
      </w:pPr>
    </w:p>
    <w:p w:rsidR="00AE541A" w:rsidRPr="00F82D09" w:rsidRDefault="00AE541A" w:rsidP="00AE541A">
      <w:pPr>
        <w:widowControl w:val="0"/>
        <w:contextualSpacing/>
        <w:jc w:val="both"/>
        <w:rPr>
          <w:sz w:val="28"/>
          <w:szCs w:val="28"/>
          <w:lang w:eastAsia="ru-RU"/>
        </w:rPr>
      </w:pPr>
    </w:p>
    <w:p w:rsidR="00BE3ACB" w:rsidRPr="005C6AA6" w:rsidRDefault="00BE3ACB" w:rsidP="00AE541A">
      <w:pPr>
        <w:jc w:val="center"/>
        <w:outlineLvl w:val="0"/>
        <w:rPr>
          <w:snapToGrid w:val="0"/>
          <w:sz w:val="28"/>
          <w:szCs w:val="28"/>
        </w:rPr>
      </w:pPr>
    </w:p>
    <w:sectPr w:rsidR="00BE3ACB" w:rsidRPr="005C6AA6" w:rsidSect="00B0621B">
      <w:pgSz w:w="16838" w:h="11906" w:orient="landscape" w:code="9"/>
      <w:pgMar w:top="1135" w:right="1418" w:bottom="851" w:left="170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99F" w:rsidRDefault="00D1299F">
      <w:r>
        <w:separator/>
      </w:r>
    </w:p>
  </w:endnote>
  <w:endnote w:type="continuationSeparator" w:id="0">
    <w:p w:rsidR="00D1299F" w:rsidRDefault="00D1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99F" w:rsidRDefault="00D1299F">
      <w:r>
        <w:separator/>
      </w:r>
    </w:p>
  </w:footnote>
  <w:footnote w:type="continuationSeparator" w:id="0">
    <w:p w:rsidR="00D1299F" w:rsidRDefault="00D12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6F" w:rsidRDefault="00DD6A6F" w:rsidP="008F40B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6A6F" w:rsidRDefault="00DD6A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6F" w:rsidRDefault="00DD6A6F" w:rsidP="008F40B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23DE">
      <w:rPr>
        <w:rStyle w:val="a5"/>
        <w:noProof/>
      </w:rPr>
      <w:t>4</w:t>
    </w:r>
    <w:r>
      <w:rPr>
        <w:rStyle w:val="a5"/>
      </w:rPr>
      <w:fldChar w:fldCharType="end"/>
    </w:r>
  </w:p>
  <w:p w:rsidR="00DD6A6F" w:rsidRDefault="00DD6A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ABE"/>
    <w:multiLevelType w:val="hybridMultilevel"/>
    <w:tmpl w:val="85BE57EA"/>
    <w:lvl w:ilvl="0" w:tplc="3C5C05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F2"/>
    <w:rsid w:val="000242E6"/>
    <w:rsid w:val="00030B3F"/>
    <w:rsid w:val="000320E7"/>
    <w:rsid w:val="00035BDE"/>
    <w:rsid w:val="00050BC2"/>
    <w:rsid w:val="0005272D"/>
    <w:rsid w:val="00070FEB"/>
    <w:rsid w:val="000839E5"/>
    <w:rsid w:val="00086857"/>
    <w:rsid w:val="000A0E4D"/>
    <w:rsid w:val="000A382C"/>
    <w:rsid w:val="000B261B"/>
    <w:rsid w:val="000C7682"/>
    <w:rsid w:val="000D2D77"/>
    <w:rsid w:val="000E254D"/>
    <w:rsid w:val="000E39B9"/>
    <w:rsid w:val="000F1C07"/>
    <w:rsid w:val="000F255F"/>
    <w:rsid w:val="00110D8A"/>
    <w:rsid w:val="00110DFD"/>
    <w:rsid w:val="00124526"/>
    <w:rsid w:val="00125820"/>
    <w:rsid w:val="001260C8"/>
    <w:rsid w:val="001260DB"/>
    <w:rsid w:val="00135214"/>
    <w:rsid w:val="00143D8C"/>
    <w:rsid w:val="001447AA"/>
    <w:rsid w:val="001575B8"/>
    <w:rsid w:val="001679E3"/>
    <w:rsid w:val="00167B9F"/>
    <w:rsid w:val="0018279C"/>
    <w:rsid w:val="00182E41"/>
    <w:rsid w:val="001B68DA"/>
    <w:rsid w:val="001C3DE6"/>
    <w:rsid w:val="001E06FE"/>
    <w:rsid w:val="001E34F1"/>
    <w:rsid w:val="001E7993"/>
    <w:rsid w:val="001F525F"/>
    <w:rsid w:val="001F6D68"/>
    <w:rsid w:val="00213A56"/>
    <w:rsid w:val="00223F67"/>
    <w:rsid w:val="00226401"/>
    <w:rsid w:val="00226D54"/>
    <w:rsid w:val="00252B8F"/>
    <w:rsid w:val="002548BC"/>
    <w:rsid w:val="00254B5D"/>
    <w:rsid w:val="00255FE8"/>
    <w:rsid w:val="00271ACD"/>
    <w:rsid w:val="00276F62"/>
    <w:rsid w:val="00280BE2"/>
    <w:rsid w:val="00285617"/>
    <w:rsid w:val="002913A4"/>
    <w:rsid w:val="0029638B"/>
    <w:rsid w:val="002E3166"/>
    <w:rsid w:val="002F5B6F"/>
    <w:rsid w:val="0030413A"/>
    <w:rsid w:val="00304FE2"/>
    <w:rsid w:val="00322652"/>
    <w:rsid w:val="00327F09"/>
    <w:rsid w:val="00331F22"/>
    <w:rsid w:val="0033335F"/>
    <w:rsid w:val="003403F5"/>
    <w:rsid w:val="00350832"/>
    <w:rsid w:val="00353D5D"/>
    <w:rsid w:val="00357D8C"/>
    <w:rsid w:val="003611BA"/>
    <w:rsid w:val="00362A19"/>
    <w:rsid w:val="00376E3C"/>
    <w:rsid w:val="0038496D"/>
    <w:rsid w:val="00392D96"/>
    <w:rsid w:val="003949BF"/>
    <w:rsid w:val="003A1DB1"/>
    <w:rsid w:val="003A435C"/>
    <w:rsid w:val="003B442B"/>
    <w:rsid w:val="003B5406"/>
    <w:rsid w:val="003D23DE"/>
    <w:rsid w:val="003E24E5"/>
    <w:rsid w:val="003F64B2"/>
    <w:rsid w:val="003F6649"/>
    <w:rsid w:val="004044A5"/>
    <w:rsid w:val="00413559"/>
    <w:rsid w:val="00434456"/>
    <w:rsid w:val="004424AC"/>
    <w:rsid w:val="004511F2"/>
    <w:rsid w:val="00476A26"/>
    <w:rsid w:val="00493708"/>
    <w:rsid w:val="004A05B3"/>
    <w:rsid w:val="004B3C87"/>
    <w:rsid w:val="004B4646"/>
    <w:rsid w:val="004B6C10"/>
    <w:rsid w:val="004C0757"/>
    <w:rsid w:val="004C7B9C"/>
    <w:rsid w:val="004D2B6A"/>
    <w:rsid w:val="004D73FB"/>
    <w:rsid w:val="004E4860"/>
    <w:rsid w:val="004F013C"/>
    <w:rsid w:val="00501A37"/>
    <w:rsid w:val="00503690"/>
    <w:rsid w:val="00513FF7"/>
    <w:rsid w:val="00514CDE"/>
    <w:rsid w:val="005259FA"/>
    <w:rsid w:val="00530B4A"/>
    <w:rsid w:val="00547C6D"/>
    <w:rsid w:val="0055252E"/>
    <w:rsid w:val="00560D4F"/>
    <w:rsid w:val="00564A94"/>
    <w:rsid w:val="00572D2B"/>
    <w:rsid w:val="00583FDD"/>
    <w:rsid w:val="00584EB0"/>
    <w:rsid w:val="00585F2E"/>
    <w:rsid w:val="00590E88"/>
    <w:rsid w:val="00590FB9"/>
    <w:rsid w:val="005A2574"/>
    <w:rsid w:val="005C6AA6"/>
    <w:rsid w:val="005D6ABF"/>
    <w:rsid w:val="005E4A7A"/>
    <w:rsid w:val="005E5696"/>
    <w:rsid w:val="00603C05"/>
    <w:rsid w:val="00611FD1"/>
    <w:rsid w:val="00624DFE"/>
    <w:rsid w:val="006251ED"/>
    <w:rsid w:val="00635C06"/>
    <w:rsid w:val="006406A5"/>
    <w:rsid w:val="00652DF7"/>
    <w:rsid w:val="00660E79"/>
    <w:rsid w:val="00661303"/>
    <w:rsid w:val="0066583E"/>
    <w:rsid w:val="00665AD8"/>
    <w:rsid w:val="0067108A"/>
    <w:rsid w:val="006726E8"/>
    <w:rsid w:val="00684D79"/>
    <w:rsid w:val="006942DB"/>
    <w:rsid w:val="006A173F"/>
    <w:rsid w:val="006A3182"/>
    <w:rsid w:val="006A5EB1"/>
    <w:rsid w:val="006A607E"/>
    <w:rsid w:val="006B33EA"/>
    <w:rsid w:val="006B3941"/>
    <w:rsid w:val="006D0391"/>
    <w:rsid w:val="006D1311"/>
    <w:rsid w:val="006D4EAC"/>
    <w:rsid w:val="006D55CA"/>
    <w:rsid w:val="006E4A75"/>
    <w:rsid w:val="006E4AE5"/>
    <w:rsid w:val="006F1B81"/>
    <w:rsid w:val="006F2995"/>
    <w:rsid w:val="006F2B0B"/>
    <w:rsid w:val="006F4C73"/>
    <w:rsid w:val="0072004D"/>
    <w:rsid w:val="0072181E"/>
    <w:rsid w:val="007249A3"/>
    <w:rsid w:val="00730A62"/>
    <w:rsid w:val="00734E7C"/>
    <w:rsid w:val="0073505C"/>
    <w:rsid w:val="00735B82"/>
    <w:rsid w:val="007407F1"/>
    <w:rsid w:val="00756593"/>
    <w:rsid w:val="00757E27"/>
    <w:rsid w:val="00761BD0"/>
    <w:rsid w:val="007666E3"/>
    <w:rsid w:val="00775921"/>
    <w:rsid w:val="00780606"/>
    <w:rsid w:val="00785DCB"/>
    <w:rsid w:val="007A0CB0"/>
    <w:rsid w:val="007A68C6"/>
    <w:rsid w:val="007D0EB1"/>
    <w:rsid w:val="00806FC1"/>
    <w:rsid w:val="008214EA"/>
    <w:rsid w:val="008231A0"/>
    <w:rsid w:val="00833F27"/>
    <w:rsid w:val="008365D0"/>
    <w:rsid w:val="00844BF8"/>
    <w:rsid w:val="0084682B"/>
    <w:rsid w:val="0086512F"/>
    <w:rsid w:val="00877F1F"/>
    <w:rsid w:val="008B5462"/>
    <w:rsid w:val="008E49A7"/>
    <w:rsid w:val="008F20F2"/>
    <w:rsid w:val="008F40BD"/>
    <w:rsid w:val="009041E4"/>
    <w:rsid w:val="00904A5D"/>
    <w:rsid w:val="009115E1"/>
    <w:rsid w:val="009121DD"/>
    <w:rsid w:val="00912200"/>
    <w:rsid w:val="00912E77"/>
    <w:rsid w:val="009241E7"/>
    <w:rsid w:val="00924C6E"/>
    <w:rsid w:val="00927BE6"/>
    <w:rsid w:val="00932352"/>
    <w:rsid w:val="00935CF0"/>
    <w:rsid w:val="00942F20"/>
    <w:rsid w:val="00951E8B"/>
    <w:rsid w:val="009566E3"/>
    <w:rsid w:val="009573D8"/>
    <w:rsid w:val="00960665"/>
    <w:rsid w:val="009648D1"/>
    <w:rsid w:val="00975BA6"/>
    <w:rsid w:val="0098506B"/>
    <w:rsid w:val="00996393"/>
    <w:rsid w:val="009A0509"/>
    <w:rsid w:val="009B12D8"/>
    <w:rsid w:val="009C7BA6"/>
    <w:rsid w:val="009E30E7"/>
    <w:rsid w:val="009E7A1C"/>
    <w:rsid w:val="009F2D05"/>
    <w:rsid w:val="00A02F77"/>
    <w:rsid w:val="00A07B10"/>
    <w:rsid w:val="00A10FD5"/>
    <w:rsid w:val="00A145AF"/>
    <w:rsid w:val="00A40F8E"/>
    <w:rsid w:val="00A51FC5"/>
    <w:rsid w:val="00A5486D"/>
    <w:rsid w:val="00A56E51"/>
    <w:rsid w:val="00A6561E"/>
    <w:rsid w:val="00A76588"/>
    <w:rsid w:val="00AE541A"/>
    <w:rsid w:val="00AF037D"/>
    <w:rsid w:val="00AF4802"/>
    <w:rsid w:val="00B03BF6"/>
    <w:rsid w:val="00B0621B"/>
    <w:rsid w:val="00B27A26"/>
    <w:rsid w:val="00B3116F"/>
    <w:rsid w:val="00B41C56"/>
    <w:rsid w:val="00B70622"/>
    <w:rsid w:val="00B70DB3"/>
    <w:rsid w:val="00B82B9F"/>
    <w:rsid w:val="00B83DA7"/>
    <w:rsid w:val="00B86910"/>
    <w:rsid w:val="00B91C7C"/>
    <w:rsid w:val="00BA6177"/>
    <w:rsid w:val="00BE3ACB"/>
    <w:rsid w:val="00BE3BC1"/>
    <w:rsid w:val="00C02A7F"/>
    <w:rsid w:val="00C031F2"/>
    <w:rsid w:val="00C1563C"/>
    <w:rsid w:val="00C169EC"/>
    <w:rsid w:val="00C22140"/>
    <w:rsid w:val="00C23FFD"/>
    <w:rsid w:val="00C33B46"/>
    <w:rsid w:val="00C3506B"/>
    <w:rsid w:val="00C40950"/>
    <w:rsid w:val="00C43CE2"/>
    <w:rsid w:val="00C54E89"/>
    <w:rsid w:val="00C554DF"/>
    <w:rsid w:val="00C60C39"/>
    <w:rsid w:val="00C72F25"/>
    <w:rsid w:val="00C76062"/>
    <w:rsid w:val="00C86EC7"/>
    <w:rsid w:val="00C8796D"/>
    <w:rsid w:val="00CA2C23"/>
    <w:rsid w:val="00CA6C4F"/>
    <w:rsid w:val="00CB5C44"/>
    <w:rsid w:val="00CC06E7"/>
    <w:rsid w:val="00CD7792"/>
    <w:rsid w:val="00CE115A"/>
    <w:rsid w:val="00CE1907"/>
    <w:rsid w:val="00CE46A3"/>
    <w:rsid w:val="00CF1EFF"/>
    <w:rsid w:val="00CF2C24"/>
    <w:rsid w:val="00CF49D3"/>
    <w:rsid w:val="00D0062F"/>
    <w:rsid w:val="00D072E0"/>
    <w:rsid w:val="00D1299F"/>
    <w:rsid w:val="00D36608"/>
    <w:rsid w:val="00D3682A"/>
    <w:rsid w:val="00D44431"/>
    <w:rsid w:val="00D47F8D"/>
    <w:rsid w:val="00D63A65"/>
    <w:rsid w:val="00D7116B"/>
    <w:rsid w:val="00D80877"/>
    <w:rsid w:val="00DA7C94"/>
    <w:rsid w:val="00DD3FCE"/>
    <w:rsid w:val="00DD6A6F"/>
    <w:rsid w:val="00DE3926"/>
    <w:rsid w:val="00DE4F27"/>
    <w:rsid w:val="00DF0E8B"/>
    <w:rsid w:val="00DF6946"/>
    <w:rsid w:val="00E0048F"/>
    <w:rsid w:val="00E118AB"/>
    <w:rsid w:val="00E11DBB"/>
    <w:rsid w:val="00E155BB"/>
    <w:rsid w:val="00E157F2"/>
    <w:rsid w:val="00E17E07"/>
    <w:rsid w:val="00E2060C"/>
    <w:rsid w:val="00E259CB"/>
    <w:rsid w:val="00E27647"/>
    <w:rsid w:val="00E33102"/>
    <w:rsid w:val="00E34430"/>
    <w:rsid w:val="00E60B44"/>
    <w:rsid w:val="00E71B28"/>
    <w:rsid w:val="00E744E0"/>
    <w:rsid w:val="00E76158"/>
    <w:rsid w:val="00E779F1"/>
    <w:rsid w:val="00E865C5"/>
    <w:rsid w:val="00E9066F"/>
    <w:rsid w:val="00E97054"/>
    <w:rsid w:val="00EA2030"/>
    <w:rsid w:val="00EA726D"/>
    <w:rsid w:val="00EB341D"/>
    <w:rsid w:val="00EB5723"/>
    <w:rsid w:val="00EC1263"/>
    <w:rsid w:val="00ED300A"/>
    <w:rsid w:val="00EE325F"/>
    <w:rsid w:val="00EF5C0F"/>
    <w:rsid w:val="00EF7218"/>
    <w:rsid w:val="00EF7541"/>
    <w:rsid w:val="00F0259B"/>
    <w:rsid w:val="00F05312"/>
    <w:rsid w:val="00F0654B"/>
    <w:rsid w:val="00F178F5"/>
    <w:rsid w:val="00F23D99"/>
    <w:rsid w:val="00F34A2C"/>
    <w:rsid w:val="00F64E2F"/>
    <w:rsid w:val="00F74E7C"/>
    <w:rsid w:val="00F874D5"/>
    <w:rsid w:val="00F8776B"/>
    <w:rsid w:val="00FC6E7C"/>
    <w:rsid w:val="00FD2C07"/>
    <w:rsid w:val="00FE1FD5"/>
    <w:rsid w:val="00FE52AE"/>
    <w:rsid w:val="00FE68DB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D6FF2"/>
  <w15:chartTrackingRefBased/>
  <w15:docId w15:val="{15852601-F0F7-4BE2-A85C-6EF692CC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79F1"/>
    <w:pPr>
      <w:spacing w:before="120"/>
      <w:ind w:firstLine="567"/>
    </w:pPr>
    <w:rPr>
      <w:sz w:val="20"/>
      <w:szCs w:val="20"/>
      <w:lang w:eastAsia="ru-RU"/>
    </w:rPr>
  </w:style>
  <w:style w:type="paragraph" w:styleId="a4">
    <w:name w:val="header"/>
    <w:basedOn w:val="a"/>
    <w:rsid w:val="00DD6A6F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DD6A6F"/>
  </w:style>
  <w:style w:type="paragraph" w:styleId="a6">
    <w:name w:val="Balloon Text"/>
    <w:basedOn w:val="a"/>
    <w:link w:val="a7"/>
    <w:rsid w:val="00661303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661303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72F25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91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2913A4"/>
    <w:rPr>
      <w:rFonts w:ascii="Courier New" w:hAnsi="Courier New" w:cs="Courier New"/>
    </w:rPr>
  </w:style>
  <w:style w:type="character" w:styleId="a9">
    <w:name w:val="Hyperlink"/>
    <w:uiPriority w:val="99"/>
    <w:unhideWhenUsed/>
    <w:rsid w:val="00EE325F"/>
    <w:rPr>
      <w:color w:val="0000FF"/>
      <w:u w:val="single"/>
    </w:rPr>
  </w:style>
  <w:style w:type="paragraph" w:customStyle="1" w:styleId="rvps7">
    <w:name w:val="rvps7"/>
    <w:basedOn w:val="a"/>
    <w:rsid w:val="00C54E89"/>
    <w:pPr>
      <w:spacing w:before="100" w:beforeAutospacing="1" w:after="100" w:afterAutospacing="1"/>
    </w:pPr>
  </w:style>
  <w:style w:type="character" w:customStyle="1" w:styleId="rvts9">
    <w:name w:val="rvts9"/>
    <w:rsid w:val="00C54E89"/>
  </w:style>
  <w:style w:type="paragraph" w:customStyle="1" w:styleId="rvps6">
    <w:name w:val="rvps6"/>
    <w:basedOn w:val="a"/>
    <w:rsid w:val="00C54E89"/>
    <w:pPr>
      <w:spacing w:before="100" w:beforeAutospacing="1" w:after="100" w:afterAutospacing="1"/>
    </w:pPr>
  </w:style>
  <w:style w:type="character" w:customStyle="1" w:styleId="rvts23">
    <w:name w:val="rvts23"/>
    <w:rsid w:val="00C54E89"/>
  </w:style>
  <w:style w:type="paragraph" w:styleId="aa">
    <w:name w:val="Normal (Web)"/>
    <w:basedOn w:val="a"/>
    <w:uiPriority w:val="99"/>
    <w:rsid w:val="00A07B10"/>
    <w:pPr>
      <w:spacing w:before="100" w:beforeAutospacing="1" w:after="100" w:afterAutospacing="1"/>
    </w:pPr>
    <w:rPr>
      <w:lang w:val="ru-RU" w:eastAsia="ru-RU"/>
    </w:rPr>
  </w:style>
  <w:style w:type="table" w:styleId="ab">
    <w:name w:val="Table Grid"/>
    <w:basedOn w:val="a1"/>
    <w:uiPriority w:val="39"/>
    <w:rsid w:val="00BE3ACB"/>
    <w:rPr>
      <w:rFonts w:asciiTheme="minorHAnsi" w:hAnsiTheme="minorHAns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3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371%D0%B0-1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371%D0%B3-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371%D0%B2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371%D0%B1-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7C992-CE8D-4CE6-B598-62C52EDE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6075</Words>
  <Characters>3463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ME</Company>
  <LinksUpToDate>false</LinksUpToDate>
  <CharactersWithSpaces>9519</CharactersWithSpaces>
  <SharedDoc>false</SharedDoc>
  <HLinks>
    <vt:vector size="24" baseType="variant">
      <vt:variant>
        <vt:i4>1704019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https://zakon.rada.gov.ua/laws/show/2371%D0%B3-14</vt:lpwstr>
      </vt:variant>
      <vt:variant>
        <vt:lpwstr/>
      </vt:variant>
      <vt:variant>
        <vt:i4>1769555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https://zakon.rada.gov.ua/laws/show/2371%D0%B2-14</vt:lpwstr>
      </vt:variant>
      <vt:variant>
        <vt:lpwstr/>
      </vt:variant>
      <vt:variant>
        <vt:i4>1572947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https://zakon.rada.gov.ua/laws/show/2371%D0%B1-14</vt:lpwstr>
      </vt:variant>
      <vt:variant>
        <vt:lpwstr/>
      </vt:variant>
      <vt:variant>
        <vt:i4>1638483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https://zakon.rada.gov.ua/laws/show/2371%D0%B0-14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kogut</dc:creator>
  <cp:keywords/>
  <dc:description/>
  <cp:lastModifiedBy>ЛИСЕНКО Вікторія Вікторівна</cp:lastModifiedBy>
  <cp:revision>66</cp:revision>
  <cp:lastPrinted>2019-05-28T09:37:00Z</cp:lastPrinted>
  <dcterms:created xsi:type="dcterms:W3CDTF">2019-07-22T12:37:00Z</dcterms:created>
  <dcterms:modified xsi:type="dcterms:W3CDTF">2019-07-23T12:52:00Z</dcterms:modified>
</cp:coreProperties>
</file>